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A13C3" w14:textId="026B0735" w:rsidR="00DC0FFE" w:rsidRPr="002309F1" w:rsidRDefault="00914BF7" w:rsidP="00891089">
      <w:pPr>
        <w:ind w:right="-522"/>
        <w:jc w:val="both"/>
        <w:rPr>
          <w:lang w:val="en-US"/>
        </w:rPr>
      </w:pPr>
      <w:r w:rsidRPr="002309F1">
        <w:rPr>
          <w:noProof/>
          <w:sz w:val="20"/>
          <w:lang w:val="en-US" w:eastAsia="pt-BR"/>
        </w:rPr>
        <mc:AlternateContent>
          <mc:Choice Requires="wps">
            <w:drawing>
              <wp:anchor distT="0" distB="0" distL="114300" distR="114300" simplePos="0" relativeHeight="251637248" behindDoc="0" locked="0" layoutInCell="0" allowOverlap="1" wp14:anchorId="3564BBCC" wp14:editId="74854837">
                <wp:simplePos x="0" y="0"/>
                <wp:positionH relativeFrom="column">
                  <wp:posOffset>-176530</wp:posOffset>
                </wp:positionH>
                <wp:positionV relativeFrom="paragraph">
                  <wp:posOffset>144780</wp:posOffset>
                </wp:positionV>
                <wp:extent cx="6059170" cy="409575"/>
                <wp:effectExtent l="0" t="0" r="0" b="9525"/>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095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08C0518" w14:textId="77777777" w:rsidR="002F696D" w:rsidRDefault="00E354D8" w:rsidP="00AE5FDB">
                            <w:pPr>
                              <w:tabs>
                                <w:tab w:val="left" w:pos="8080"/>
                              </w:tabs>
                              <w:jc w:val="center"/>
                              <w:rPr>
                                <w:b/>
                                <w:caps/>
                                <w:lang w:val="en-US"/>
                              </w:rPr>
                            </w:pPr>
                            <w:r w:rsidRPr="00E354D8">
                              <w:rPr>
                                <w:b/>
                                <w:caps/>
                                <w:lang w:val="en-US"/>
                              </w:rPr>
                              <w:t>REGIONAL ENERGY SECURITY</w:t>
                            </w:r>
                            <w:r w:rsidR="00AE5FDB">
                              <w:rPr>
                                <w:b/>
                                <w:caps/>
                                <w:lang w:val="en-US"/>
                              </w:rPr>
                              <w:t xml:space="preserve"> </w:t>
                            </w:r>
                            <w:r w:rsidR="00891089">
                              <w:rPr>
                                <w:b/>
                                <w:caps/>
                                <w:lang w:val="en-US"/>
                              </w:rPr>
                              <w:t>as an alternative approach to</w:t>
                            </w:r>
                            <w:r w:rsidR="00AE5FDB">
                              <w:rPr>
                                <w:b/>
                                <w:caps/>
                                <w:lang w:val="en-US"/>
                              </w:rPr>
                              <w:t xml:space="preserve"> south america</w:t>
                            </w:r>
                          </w:p>
                          <w:p w14:paraId="113C7E00" w14:textId="77777777" w:rsidR="00891089" w:rsidRPr="00AE5FDB" w:rsidRDefault="00891089" w:rsidP="00AE5FDB">
                            <w:pPr>
                              <w:tabs>
                                <w:tab w:val="left" w:pos="8080"/>
                              </w:tabs>
                              <w:jc w:val="center"/>
                              <w:rPr>
                                <w:b/>
                                <w:caps/>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4BBCC" id="Rectangle 34" o:spid="_x0000_s1026" style="position:absolute;left:0;text-align:left;margin-left:-13.9pt;margin-top:11.4pt;width:477.1pt;height:32.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" o:allowincell="f" stroked="f" strokeweight="0">
                <v:textbox inset="0,0,0,0">
                  <w:txbxContent>
                    <w:p w14:paraId="208C0518" w14:textId="77777777" w:rsidR="002F696D" w:rsidRDefault="00E354D8" w:rsidP="00AE5FDB">
                      <w:pPr>
                        <w:tabs>
                          <w:tab w:val="left" w:pos="8080"/>
                        </w:tabs>
                        <w:jc w:val="center"/>
                        <w:rPr>
                          <w:b/>
                          <w:caps/>
                          <w:lang w:val="en-US"/>
                        </w:rPr>
                      </w:pPr>
                      <w:r w:rsidRPr="00E354D8">
                        <w:rPr>
                          <w:b/>
                          <w:caps/>
                          <w:lang w:val="en-US"/>
                        </w:rPr>
                        <w:t>REGIONAL ENERGY SECURITY</w:t>
                      </w:r>
                      <w:r w:rsidR="00AE5FDB">
                        <w:rPr>
                          <w:b/>
                          <w:caps/>
                          <w:lang w:val="en-US"/>
                        </w:rPr>
                        <w:t xml:space="preserve"> </w:t>
                      </w:r>
                      <w:r w:rsidR="00891089">
                        <w:rPr>
                          <w:b/>
                          <w:caps/>
                          <w:lang w:val="en-US"/>
                        </w:rPr>
                        <w:t>as an alternative approach to</w:t>
                      </w:r>
                      <w:r w:rsidR="00AE5FDB">
                        <w:rPr>
                          <w:b/>
                          <w:caps/>
                          <w:lang w:val="en-US"/>
                        </w:rPr>
                        <w:t xml:space="preserve"> south america</w:t>
                      </w:r>
                    </w:p>
                    <w:p w14:paraId="113C7E00" w14:textId="77777777" w:rsidR="00891089" w:rsidRPr="00AE5FDB" w:rsidRDefault="00891089" w:rsidP="00AE5FDB">
                      <w:pPr>
                        <w:tabs>
                          <w:tab w:val="left" w:pos="8080"/>
                        </w:tabs>
                        <w:jc w:val="center"/>
                        <w:rPr>
                          <w:b/>
                          <w:caps/>
                          <w:lang w:val="en-US"/>
                        </w:rPr>
                      </w:pPr>
                    </w:p>
                  </w:txbxContent>
                </v:textbox>
              </v:rect>
            </w:pict>
          </mc:Fallback>
        </mc:AlternateContent>
      </w:r>
    </w:p>
    <w:p w14:paraId="4FA4F542" w14:textId="10FC03EE" w:rsidR="000929B7" w:rsidRPr="002309F1" w:rsidRDefault="000929B7" w:rsidP="00DC0FFE">
      <w:pPr>
        <w:ind w:right="-522"/>
        <w:rPr>
          <w:lang w:val="en-US"/>
        </w:rPr>
      </w:pPr>
    </w:p>
    <w:p w14:paraId="0661C184" w14:textId="2F2F8E30" w:rsidR="00B54A15" w:rsidRPr="002309F1" w:rsidRDefault="00891089" w:rsidP="00DC0FFE">
      <w:pPr>
        <w:ind w:right="-522"/>
        <w:rPr>
          <w:lang w:val="en-US"/>
        </w:rPr>
      </w:pPr>
      <w:r w:rsidRPr="002309F1">
        <w:rPr>
          <w:noProof/>
          <w:sz w:val="20"/>
          <w:lang w:val="en-US" w:eastAsia="pt-BR"/>
        </w:rPr>
        <mc:AlternateContent>
          <mc:Choice Requires="wps">
            <w:drawing>
              <wp:anchor distT="0" distB="0" distL="114300" distR="114300" simplePos="0" relativeHeight="251643392" behindDoc="0" locked="0" layoutInCell="0" allowOverlap="1" wp14:anchorId="2810FCC9" wp14:editId="6EDCF2D4">
                <wp:simplePos x="0" y="0"/>
                <wp:positionH relativeFrom="column">
                  <wp:posOffset>-24130</wp:posOffset>
                </wp:positionH>
                <wp:positionV relativeFrom="paragraph">
                  <wp:posOffset>163830</wp:posOffset>
                </wp:positionV>
                <wp:extent cx="5972175" cy="371475"/>
                <wp:effectExtent l="0" t="0" r="9525" b="9525"/>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714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8F93E83" w14:textId="77777777" w:rsidR="00B54A15" w:rsidRPr="00891089" w:rsidRDefault="002F696D" w:rsidP="00DC0FFE">
                            <w:pPr>
                              <w:rPr>
                                <w:rFonts w:ascii="Arial" w:hAnsi="Arial" w:cs="Arial"/>
                                <w:b/>
                                <w:sz w:val="22"/>
                                <w:szCs w:val="22"/>
                                <w:lang w:val="en-US"/>
                              </w:rPr>
                            </w:pPr>
                            <w:r w:rsidRPr="00891089">
                              <w:rPr>
                                <w:rFonts w:ascii="Arial" w:hAnsi="Arial" w:cs="Arial"/>
                                <w:b/>
                                <w:sz w:val="22"/>
                                <w:szCs w:val="22"/>
                                <w:lang w:val="en-US"/>
                              </w:rPr>
                              <w:t>A</w:t>
                            </w:r>
                            <w:r w:rsidR="00E354D8" w:rsidRPr="00891089">
                              <w:rPr>
                                <w:rFonts w:ascii="Arial" w:hAnsi="Arial" w:cs="Arial"/>
                                <w:b/>
                                <w:sz w:val="22"/>
                                <w:szCs w:val="22"/>
                                <w:lang w:val="en-US"/>
                              </w:rPr>
                              <w:t>ut</w:t>
                            </w:r>
                            <w:r w:rsidR="00891089" w:rsidRPr="00891089">
                              <w:rPr>
                                <w:rFonts w:ascii="Arial" w:hAnsi="Arial" w:cs="Arial"/>
                                <w:b/>
                                <w:sz w:val="22"/>
                                <w:szCs w:val="22"/>
                                <w:lang w:val="en-US"/>
                              </w:rPr>
                              <w:t>h</w:t>
                            </w:r>
                            <w:r w:rsidR="00E354D8" w:rsidRPr="00891089">
                              <w:rPr>
                                <w:rFonts w:ascii="Arial" w:hAnsi="Arial" w:cs="Arial"/>
                                <w:b/>
                                <w:sz w:val="22"/>
                                <w:szCs w:val="22"/>
                                <w:lang w:val="en-US"/>
                              </w:rPr>
                              <w:t>or</w:t>
                            </w:r>
                            <w:r w:rsidRPr="00891089">
                              <w:rPr>
                                <w:rFonts w:ascii="Arial" w:hAnsi="Arial" w:cs="Arial"/>
                                <w:b/>
                                <w:sz w:val="22"/>
                                <w:szCs w:val="22"/>
                                <w:lang w:val="en-US"/>
                              </w:rPr>
                              <w:t xml:space="preserve">: </w:t>
                            </w:r>
                          </w:p>
                          <w:p w14:paraId="5CDFEFD2" w14:textId="77777777" w:rsidR="00B54A15" w:rsidRPr="002309F1" w:rsidRDefault="00E354D8" w:rsidP="00E354D8">
                            <w:pPr>
                              <w:rPr>
                                <w:rFonts w:ascii="Arial" w:hAnsi="Arial" w:cs="Arial"/>
                                <w:sz w:val="22"/>
                                <w:szCs w:val="22"/>
                                <w:lang w:val="en-US"/>
                              </w:rPr>
                            </w:pPr>
                            <w:r w:rsidRPr="00E354D8">
                              <w:rPr>
                                <w:rFonts w:ascii="Arial" w:hAnsi="Arial" w:cs="Arial"/>
                                <w:sz w:val="22"/>
                                <w:szCs w:val="22"/>
                                <w:lang w:val="en-US"/>
                              </w:rPr>
                              <w:t>THAUAN SANTOS, Economist, Prof. PhD at the (Brazilian) Naval War College (EGN)</w:t>
                            </w:r>
                          </w:p>
                          <w:p w14:paraId="16002907" w14:textId="77777777" w:rsidR="00B54A15" w:rsidRPr="002309F1" w:rsidRDefault="00B54A15" w:rsidP="00DC0FFE">
                            <w:pPr>
                              <w:rPr>
                                <w:rFonts w:ascii="Arial" w:hAnsi="Arial" w:cs="Arial"/>
                                <w:sz w:val="22"/>
                                <w:szCs w:val="22"/>
                                <w:lang w:val="en-US"/>
                              </w:rPr>
                            </w:pPr>
                          </w:p>
                          <w:p w14:paraId="1F32ADF0" w14:textId="77777777" w:rsidR="002F696D" w:rsidRPr="002309F1" w:rsidRDefault="002F696D" w:rsidP="00DC0FFE">
                            <w:pPr>
                              <w:rPr>
                                <w:rFonts w:ascii="Arial" w:hAnsi="Arial" w:cs="Arial"/>
                                <w:sz w:val="22"/>
                                <w:szCs w:val="22"/>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0FCC9" id="Rectangle 35" o:spid="_x0000_s1027" style="position:absolute;margin-left:-1.9pt;margin-top:12.9pt;width:470.25pt;height:29.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" o:allowincell="f" stroked="f" strokeweight="0">
                <v:textbox inset="0,0,0,0">
                  <w:txbxContent>
                    <w:p w14:paraId="08F93E83" w14:textId="77777777" w:rsidR="00B54A15" w:rsidRPr="00891089" w:rsidRDefault="002F696D" w:rsidP="00DC0FFE">
                      <w:pPr>
                        <w:rPr>
                          <w:rFonts w:ascii="Arial" w:hAnsi="Arial" w:cs="Arial"/>
                          <w:b/>
                          <w:sz w:val="22"/>
                          <w:szCs w:val="22"/>
                          <w:lang w:val="en-US"/>
                        </w:rPr>
                      </w:pPr>
                      <w:r w:rsidRPr="00891089">
                        <w:rPr>
                          <w:rFonts w:ascii="Arial" w:hAnsi="Arial" w:cs="Arial"/>
                          <w:b/>
                          <w:sz w:val="22"/>
                          <w:szCs w:val="22"/>
                          <w:lang w:val="en-US"/>
                        </w:rPr>
                        <w:t>A</w:t>
                      </w:r>
                      <w:r w:rsidR="00E354D8" w:rsidRPr="00891089">
                        <w:rPr>
                          <w:rFonts w:ascii="Arial" w:hAnsi="Arial" w:cs="Arial"/>
                          <w:b/>
                          <w:sz w:val="22"/>
                          <w:szCs w:val="22"/>
                          <w:lang w:val="en-US"/>
                        </w:rPr>
                        <w:t>ut</w:t>
                      </w:r>
                      <w:r w:rsidR="00891089" w:rsidRPr="00891089">
                        <w:rPr>
                          <w:rFonts w:ascii="Arial" w:hAnsi="Arial" w:cs="Arial"/>
                          <w:b/>
                          <w:sz w:val="22"/>
                          <w:szCs w:val="22"/>
                          <w:lang w:val="en-US"/>
                        </w:rPr>
                        <w:t>h</w:t>
                      </w:r>
                      <w:r w:rsidR="00E354D8" w:rsidRPr="00891089">
                        <w:rPr>
                          <w:rFonts w:ascii="Arial" w:hAnsi="Arial" w:cs="Arial"/>
                          <w:b/>
                          <w:sz w:val="22"/>
                          <w:szCs w:val="22"/>
                          <w:lang w:val="en-US"/>
                        </w:rPr>
                        <w:t>or</w:t>
                      </w:r>
                      <w:r w:rsidRPr="00891089">
                        <w:rPr>
                          <w:rFonts w:ascii="Arial" w:hAnsi="Arial" w:cs="Arial"/>
                          <w:b/>
                          <w:sz w:val="22"/>
                          <w:szCs w:val="22"/>
                          <w:lang w:val="en-US"/>
                        </w:rPr>
                        <w:t xml:space="preserve">: </w:t>
                      </w:r>
                    </w:p>
                    <w:p w14:paraId="5CDFEFD2" w14:textId="77777777" w:rsidR="00B54A15" w:rsidRPr="002309F1" w:rsidRDefault="00E354D8" w:rsidP="00E354D8">
                      <w:pPr>
                        <w:rPr>
                          <w:rFonts w:ascii="Arial" w:hAnsi="Arial" w:cs="Arial"/>
                          <w:sz w:val="22"/>
                          <w:szCs w:val="22"/>
                          <w:lang w:val="en-US"/>
                        </w:rPr>
                      </w:pPr>
                      <w:r w:rsidRPr="00E354D8">
                        <w:rPr>
                          <w:rFonts w:ascii="Arial" w:hAnsi="Arial" w:cs="Arial"/>
                          <w:sz w:val="22"/>
                          <w:szCs w:val="22"/>
                          <w:lang w:val="en-US"/>
                        </w:rPr>
                        <w:t>THAUAN SANTOS, Economist, Prof. PhD at the (Brazilian) Naval War College (EGN)</w:t>
                      </w:r>
                    </w:p>
                    <w:p w14:paraId="16002907" w14:textId="77777777" w:rsidR="00B54A15" w:rsidRPr="002309F1" w:rsidRDefault="00B54A15" w:rsidP="00DC0FFE">
                      <w:pPr>
                        <w:rPr>
                          <w:rFonts w:ascii="Arial" w:hAnsi="Arial" w:cs="Arial"/>
                          <w:sz w:val="22"/>
                          <w:szCs w:val="22"/>
                          <w:lang w:val="en-US"/>
                        </w:rPr>
                      </w:pPr>
                    </w:p>
                    <w:p w14:paraId="1F32ADF0" w14:textId="77777777" w:rsidR="002F696D" w:rsidRPr="002309F1" w:rsidRDefault="002F696D" w:rsidP="00DC0FFE">
                      <w:pPr>
                        <w:rPr>
                          <w:rFonts w:ascii="Arial" w:hAnsi="Arial" w:cs="Arial"/>
                          <w:sz w:val="22"/>
                          <w:szCs w:val="22"/>
                          <w:lang w:val="en-US"/>
                        </w:rPr>
                      </w:pPr>
                    </w:p>
                  </w:txbxContent>
                </v:textbox>
              </v:rect>
            </w:pict>
          </mc:Fallback>
        </mc:AlternateContent>
      </w:r>
    </w:p>
    <w:p w14:paraId="6F49A4F0" w14:textId="77777777" w:rsidR="00DC0FFE" w:rsidRPr="002309F1" w:rsidRDefault="00DC0FFE" w:rsidP="00DC0FFE">
      <w:pPr>
        <w:ind w:right="-522"/>
        <w:rPr>
          <w:lang w:val="en-US"/>
        </w:rPr>
      </w:pPr>
    </w:p>
    <w:p w14:paraId="5C27850E" w14:textId="4D687C4C" w:rsidR="00DC0FFE" w:rsidRPr="002309F1" w:rsidRDefault="00DC0FFE" w:rsidP="00DC0FFE">
      <w:pPr>
        <w:ind w:right="-522"/>
        <w:rPr>
          <w:lang w:val="en-US"/>
        </w:rPr>
      </w:pPr>
    </w:p>
    <w:p w14:paraId="7328578E" w14:textId="5AD7FCB4" w:rsidR="00DC0FFE" w:rsidRPr="002309F1" w:rsidRDefault="00891089" w:rsidP="00DC0FFE">
      <w:pPr>
        <w:ind w:right="-522"/>
        <w:rPr>
          <w:lang w:val="en-US"/>
        </w:rPr>
      </w:pPr>
      <w:r w:rsidRPr="002309F1">
        <w:rPr>
          <w:noProof/>
          <w:sz w:val="20"/>
          <w:lang w:val="en-US" w:eastAsia="pt-BR"/>
        </w:rPr>
        <mc:AlternateContent>
          <mc:Choice Requires="wps">
            <w:drawing>
              <wp:anchor distT="0" distB="0" distL="114300" distR="114300" simplePos="0" relativeHeight="251653632" behindDoc="0" locked="0" layoutInCell="0" allowOverlap="1" wp14:anchorId="7BE8456E" wp14:editId="328E9723">
                <wp:simplePos x="0" y="0"/>
                <wp:positionH relativeFrom="column">
                  <wp:posOffset>3242945</wp:posOffset>
                </wp:positionH>
                <wp:positionV relativeFrom="paragraph">
                  <wp:posOffset>76200</wp:posOffset>
                </wp:positionV>
                <wp:extent cx="2686050" cy="752475"/>
                <wp:effectExtent l="0" t="0" r="0" b="9525"/>
                <wp:wrapNone/>
                <wp:docPr id="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7524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824A5EA" w14:textId="1D2743AF" w:rsidR="00E354D8" w:rsidRPr="002309F1" w:rsidRDefault="00E354D8" w:rsidP="00E354D8">
                            <w:pPr>
                              <w:rPr>
                                <w:rFonts w:ascii="Arial" w:hAnsi="Arial" w:cs="Arial"/>
                                <w:sz w:val="22"/>
                                <w:szCs w:val="22"/>
                                <w:lang w:val="en-US"/>
                              </w:rPr>
                            </w:pPr>
                            <w:r w:rsidRPr="002309F1">
                              <w:rPr>
                                <w:lang w:val="en-US"/>
                              </w:rPr>
                              <w:t>I</w:t>
                            </w:r>
                            <w:r w:rsidR="00891089" w:rsidRPr="002309F1">
                              <w:rPr>
                                <w:lang w:val="en-US"/>
                              </w:rPr>
                              <w:t>nstitution</w:t>
                            </w:r>
                            <w:r w:rsidR="00B54A15" w:rsidRPr="002309F1">
                              <w:rPr>
                                <w:lang w:val="en-US"/>
                              </w:rPr>
                              <w:t xml:space="preserve">: </w:t>
                            </w:r>
                            <w:r w:rsidRPr="002309F1">
                              <w:rPr>
                                <w:rFonts w:ascii="Arial" w:hAnsi="Arial" w:cs="Arial"/>
                                <w:b/>
                                <w:sz w:val="22"/>
                                <w:szCs w:val="22"/>
                                <w:lang w:val="en-US"/>
                              </w:rPr>
                              <w:t>(BRAZILIAN) NAVAL WAR COLLEGE (EGN)</w:t>
                            </w:r>
                          </w:p>
                          <w:p w14:paraId="50FDBA94" w14:textId="1EA478E9" w:rsidR="002F696D" w:rsidRPr="002309F1" w:rsidRDefault="00891089" w:rsidP="00DC0FFE">
                            <w:pPr>
                              <w:rPr>
                                <w:lang w:val="en-US"/>
                              </w:rPr>
                            </w:pPr>
                            <w:r w:rsidRPr="002309F1">
                              <w:rPr>
                                <w:lang w:val="en-US"/>
                              </w:rPr>
                              <w:t>Address</w:t>
                            </w:r>
                            <w:r w:rsidR="00B54A15" w:rsidRPr="002309F1">
                              <w:rPr>
                                <w:lang w:val="en-US"/>
                              </w:rPr>
                              <w:t xml:space="preserve">: </w:t>
                            </w:r>
                            <w:r w:rsidR="00E354D8" w:rsidRPr="002309F1">
                              <w:rPr>
                                <w:lang w:val="en-US"/>
                              </w:rPr>
                              <w:t>Rio de Janeiro</w:t>
                            </w:r>
                            <w:r w:rsidRPr="002309F1">
                              <w:rPr>
                                <w:lang w:val="en-US"/>
                              </w:rPr>
                              <w:t>, Braz</w:t>
                            </w:r>
                            <w:r w:rsidR="00B54A15" w:rsidRPr="002309F1">
                              <w:rPr>
                                <w:lang w:val="en-US"/>
                              </w:rPr>
                              <w:t>il</w:t>
                            </w:r>
                            <w:r w:rsidRPr="002309F1">
                              <w:rPr>
                                <w:lang w:val="en-US"/>
                              </w:rPr>
                              <w:t>.</w:t>
                            </w:r>
                          </w:p>
                          <w:p w14:paraId="30EB9EED" w14:textId="5819A4BF" w:rsidR="00B54A15" w:rsidRPr="002309F1" w:rsidRDefault="00891089" w:rsidP="00DC0FFE">
                            <w:pPr>
                              <w:rPr>
                                <w:lang w:val="en-US"/>
                              </w:rPr>
                            </w:pPr>
                            <w:r w:rsidRPr="002309F1">
                              <w:rPr>
                                <w:lang w:val="en-US"/>
                              </w:rPr>
                              <w:t>E</w:t>
                            </w:r>
                            <w:r w:rsidR="00E354D8" w:rsidRPr="002309F1">
                              <w:rPr>
                                <w:lang w:val="en-US"/>
                              </w:rPr>
                              <w:t>m</w:t>
                            </w:r>
                            <w:r w:rsidR="00B54A15" w:rsidRPr="002309F1">
                              <w:rPr>
                                <w:lang w:val="en-US"/>
                              </w:rPr>
                              <w:t xml:space="preserve">ail: </w:t>
                            </w:r>
                            <w:r w:rsidR="00E354D8" w:rsidRPr="002309F1">
                              <w:rPr>
                                <w:lang w:val="en-US"/>
                              </w:rPr>
                              <w:t>santos.thauan@gmail.com</w:t>
                            </w:r>
                            <w:r w:rsidRPr="002309F1">
                              <w:rPr>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8456E" id="Rectangle 36" o:spid="_x0000_s1028" style="position:absolute;margin-left:255.35pt;margin-top:6pt;width:211.5pt;height:5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" o:allowincell="f" stroked="f" strokeweight="0">
                <v:textbox inset="0,0,0,0">
                  <w:txbxContent>
                    <w:p w14:paraId="1824A5EA" w14:textId="1D2743AF" w:rsidR="00E354D8" w:rsidRPr="002309F1" w:rsidRDefault="00E354D8" w:rsidP="00E354D8">
                      <w:pPr>
                        <w:rPr>
                          <w:rFonts w:ascii="Arial" w:hAnsi="Arial" w:cs="Arial"/>
                          <w:sz w:val="22"/>
                          <w:szCs w:val="22"/>
                          <w:lang w:val="en-US"/>
                        </w:rPr>
                      </w:pPr>
                      <w:r w:rsidRPr="002309F1">
                        <w:rPr>
                          <w:lang w:val="en-US"/>
                        </w:rPr>
                        <w:t>I</w:t>
                      </w:r>
                      <w:r w:rsidR="00891089" w:rsidRPr="002309F1">
                        <w:rPr>
                          <w:lang w:val="en-US"/>
                        </w:rPr>
                        <w:t>nstitution</w:t>
                      </w:r>
                      <w:r w:rsidR="00B54A15" w:rsidRPr="002309F1">
                        <w:rPr>
                          <w:lang w:val="en-US"/>
                        </w:rPr>
                        <w:t xml:space="preserve">: </w:t>
                      </w:r>
                      <w:r w:rsidRPr="002309F1">
                        <w:rPr>
                          <w:rFonts w:ascii="Arial" w:hAnsi="Arial" w:cs="Arial"/>
                          <w:b/>
                          <w:sz w:val="22"/>
                          <w:szCs w:val="22"/>
                          <w:lang w:val="en-US"/>
                        </w:rPr>
                        <w:t>(BRAZILIAN) NAVAL WAR COLLEGE (EGN)</w:t>
                      </w:r>
                    </w:p>
                    <w:p w14:paraId="50FDBA94" w14:textId="1EA478E9" w:rsidR="002F696D" w:rsidRPr="002309F1" w:rsidRDefault="00891089" w:rsidP="00DC0FFE">
                      <w:pPr>
                        <w:rPr>
                          <w:lang w:val="en-US"/>
                        </w:rPr>
                      </w:pPr>
                      <w:r w:rsidRPr="002309F1">
                        <w:rPr>
                          <w:lang w:val="en-US"/>
                        </w:rPr>
                        <w:t>Address</w:t>
                      </w:r>
                      <w:r w:rsidR="00B54A15" w:rsidRPr="002309F1">
                        <w:rPr>
                          <w:lang w:val="en-US"/>
                        </w:rPr>
                        <w:t xml:space="preserve">: </w:t>
                      </w:r>
                      <w:r w:rsidR="00E354D8" w:rsidRPr="002309F1">
                        <w:rPr>
                          <w:lang w:val="en-US"/>
                        </w:rPr>
                        <w:t>Rio de Janeiro</w:t>
                      </w:r>
                      <w:r w:rsidRPr="002309F1">
                        <w:rPr>
                          <w:lang w:val="en-US"/>
                        </w:rPr>
                        <w:t>, Braz</w:t>
                      </w:r>
                      <w:r w:rsidR="00B54A15" w:rsidRPr="002309F1">
                        <w:rPr>
                          <w:lang w:val="en-US"/>
                        </w:rPr>
                        <w:t>il</w:t>
                      </w:r>
                      <w:r w:rsidRPr="002309F1">
                        <w:rPr>
                          <w:lang w:val="en-US"/>
                        </w:rPr>
                        <w:t>.</w:t>
                      </w:r>
                    </w:p>
                    <w:p w14:paraId="30EB9EED" w14:textId="5819A4BF" w:rsidR="00B54A15" w:rsidRPr="002309F1" w:rsidRDefault="00891089" w:rsidP="00DC0FFE">
                      <w:pPr>
                        <w:rPr>
                          <w:lang w:val="en-US"/>
                        </w:rPr>
                      </w:pPr>
                      <w:r w:rsidRPr="002309F1">
                        <w:rPr>
                          <w:lang w:val="en-US"/>
                        </w:rPr>
                        <w:t>E</w:t>
                      </w:r>
                      <w:r w:rsidR="00E354D8" w:rsidRPr="002309F1">
                        <w:rPr>
                          <w:lang w:val="en-US"/>
                        </w:rPr>
                        <w:t>m</w:t>
                      </w:r>
                      <w:r w:rsidR="00B54A15" w:rsidRPr="002309F1">
                        <w:rPr>
                          <w:lang w:val="en-US"/>
                        </w:rPr>
                        <w:t xml:space="preserve">ail: </w:t>
                      </w:r>
                      <w:r w:rsidR="00E354D8" w:rsidRPr="002309F1">
                        <w:rPr>
                          <w:lang w:val="en-US"/>
                        </w:rPr>
                        <w:t>santos.thauan@gmail.com</w:t>
                      </w:r>
                      <w:r w:rsidRPr="002309F1">
                        <w:rPr>
                          <w:lang w:val="en-US"/>
                        </w:rPr>
                        <w:t>.</w:t>
                      </w:r>
                    </w:p>
                  </w:txbxContent>
                </v:textbox>
              </v:rect>
            </w:pict>
          </mc:Fallback>
        </mc:AlternateContent>
      </w:r>
      <w:r w:rsidRPr="002309F1">
        <w:rPr>
          <w:noProof/>
          <w:sz w:val="20"/>
          <w:lang w:val="en-US" w:eastAsia="pt-BR"/>
        </w:rPr>
        <mc:AlternateContent>
          <mc:Choice Requires="wps">
            <w:drawing>
              <wp:anchor distT="0" distB="0" distL="114300" distR="114300" simplePos="0" relativeHeight="251662848" behindDoc="0" locked="0" layoutInCell="0" allowOverlap="1" wp14:anchorId="6D9887A7" wp14:editId="2B06776F">
                <wp:simplePos x="0" y="0"/>
                <wp:positionH relativeFrom="column">
                  <wp:posOffset>-24130</wp:posOffset>
                </wp:positionH>
                <wp:positionV relativeFrom="paragraph">
                  <wp:posOffset>108585</wp:posOffset>
                </wp:positionV>
                <wp:extent cx="2886075" cy="696595"/>
                <wp:effectExtent l="0" t="0" r="28575" b="27305"/>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696595"/>
                        </a:xfrm>
                        <a:prstGeom prst="rect">
                          <a:avLst/>
                        </a:prstGeom>
                        <a:solidFill>
                          <a:srgbClr val="FFFFFF"/>
                        </a:solidFill>
                        <a:ln w="19050">
                          <a:solidFill>
                            <a:srgbClr val="000000"/>
                          </a:solidFill>
                          <a:miter lim="800000"/>
                          <a:headEnd/>
                          <a:tailEnd/>
                        </a:ln>
                      </wps:spPr>
                      <wps:txbx>
                        <w:txbxContent>
                          <w:p w14:paraId="0158B23B" w14:textId="05E0DC1D" w:rsidR="002F696D" w:rsidRPr="00891089" w:rsidRDefault="00891089" w:rsidP="00DC0FFE">
                            <w:pPr>
                              <w:rPr>
                                <w:rFonts w:ascii="Arial" w:hAnsi="Arial" w:cs="Arial"/>
                                <w:sz w:val="22"/>
                                <w:szCs w:val="22"/>
                                <w:lang w:val="en-US"/>
                              </w:rPr>
                            </w:pPr>
                            <w:r w:rsidRPr="00891089">
                              <w:rPr>
                                <w:rFonts w:ascii="Arial" w:hAnsi="Arial" w:cs="Arial"/>
                                <w:b/>
                                <w:sz w:val="22"/>
                                <w:szCs w:val="22"/>
                                <w:lang w:val="en-US"/>
                              </w:rPr>
                              <w:t>KEYWORDS</w:t>
                            </w:r>
                            <w:r w:rsidR="002F696D" w:rsidRPr="00891089">
                              <w:rPr>
                                <w:rFonts w:ascii="Arial" w:hAnsi="Arial" w:cs="Arial"/>
                                <w:sz w:val="22"/>
                                <w:szCs w:val="22"/>
                                <w:lang w:val="en-US"/>
                              </w:rPr>
                              <w:t xml:space="preserve">: </w:t>
                            </w:r>
                          </w:p>
                          <w:p w14:paraId="42BA417F" w14:textId="3A55C92E" w:rsidR="00B54A15" w:rsidRPr="00891089" w:rsidRDefault="00E354D8" w:rsidP="00DC0FFE">
                            <w:pPr>
                              <w:rPr>
                                <w:rFonts w:ascii="Arial" w:hAnsi="Arial" w:cs="Arial"/>
                                <w:sz w:val="22"/>
                                <w:szCs w:val="22"/>
                                <w:lang w:val="en-US"/>
                              </w:rPr>
                            </w:pPr>
                            <w:r w:rsidRPr="00891089">
                              <w:rPr>
                                <w:lang w:val="en-US"/>
                              </w:rPr>
                              <w:t>Energy Security</w:t>
                            </w:r>
                            <w:r w:rsidR="00B54A15" w:rsidRPr="00891089">
                              <w:rPr>
                                <w:lang w:val="en-US"/>
                              </w:rPr>
                              <w:t xml:space="preserve">, </w:t>
                            </w:r>
                            <w:r w:rsidRPr="00891089">
                              <w:rPr>
                                <w:lang w:val="en-US"/>
                              </w:rPr>
                              <w:t>Regional Integration</w:t>
                            </w:r>
                            <w:r w:rsidR="00B54A15" w:rsidRPr="00891089">
                              <w:rPr>
                                <w:lang w:val="en-US"/>
                              </w:rPr>
                              <w:t xml:space="preserve">, </w:t>
                            </w:r>
                            <w:r w:rsidR="002309F1">
                              <w:rPr>
                                <w:lang w:val="en-US"/>
                              </w:rPr>
                              <w:t xml:space="preserve">Energy Integration, </w:t>
                            </w:r>
                            <w:r w:rsidRPr="00891089">
                              <w:rPr>
                                <w:lang w:val="en-US"/>
                              </w:rPr>
                              <w:t>Mercosur</w:t>
                            </w:r>
                            <w:r w:rsidR="00B54A15" w:rsidRPr="00891089">
                              <w:rPr>
                                <w:lang w:val="en-US"/>
                              </w:rPr>
                              <w:t xml:space="preserve">, </w:t>
                            </w:r>
                            <w:r w:rsidRPr="00891089">
                              <w:rPr>
                                <w:lang w:val="en-US"/>
                              </w:rPr>
                              <w:t>UNASUR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887A7" id="Rectangle 37" o:spid="_x0000_s1029" style="position:absolute;margin-left:-1.9pt;margin-top:8.55pt;width:227.25pt;height:54.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" o:allowincell="f" strokeweight="1.5pt">
                <v:textbox inset="0,0,0,0">
                  <w:txbxContent>
                    <w:p w14:paraId="0158B23B" w14:textId="05E0DC1D" w:rsidR="002F696D" w:rsidRPr="00891089" w:rsidRDefault="00891089" w:rsidP="00DC0FFE">
                      <w:pPr>
                        <w:rPr>
                          <w:rFonts w:ascii="Arial" w:hAnsi="Arial" w:cs="Arial"/>
                          <w:sz w:val="22"/>
                          <w:szCs w:val="22"/>
                          <w:lang w:val="en-US"/>
                        </w:rPr>
                      </w:pPr>
                      <w:r w:rsidRPr="00891089">
                        <w:rPr>
                          <w:rFonts w:ascii="Arial" w:hAnsi="Arial" w:cs="Arial"/>
                          <w:b/>
                          <w:sz w:val="22"/>
                          <w:szCs w:val="22"/>
                          <w:lang w:val="en-US"/>
                        </w:rPr>
                        <w:t>KEYWORDS</w:t>
                      </w:r>
                      <w:r w:rsidR="002F696D" w:rsidRPr="00891089">
                        <w:rPr>
                          <w:rFonts w:ascii="Arial" w:hAnsi="Arial" w:cs="Arial"/>
                          <w:sz w:val="22"/>
                          <w:szCs w:val="22"/>
                          <w:lang w:val="en-US"/>
                        </w:rPr>
                        <w:t xml:space="preserve">: </w:t>
                      </w:r>
                    </w:p>
                    <w:p w14:paraId="42BA417F" w14:textId="3A55C92E" w:rsidR="00B54A15" w:rsidRPr="00891089" w:rsidRDefault="00E354D8" w:rsidP="00DC0FFE">
                      <w:pPr>
                        <w:rPr>
                          <w:rFonts w:ascii="Arial" w:hAnsi="Arial" w:cs="Arial"/>
                          <w:sz w:val="22"/>
                          <w:szCs w:val="22"/>
                          <w:lang w:val="en-US"/>
                        </w:rPr>
                      </w:pPr>
                      <w:r w:rsidRPr="00891089">
                        <w:rPr>
                          <w:lang w:val="en-US"/>
                        </w:rPr>
                        <w:t>Energy Security</w:t>
                      </w:r>
                      <w:r w:rsidR="00B54A15" w:rsidRPr="00891089">
                        <w:rPr>
                          <w:lang w:val="en-US"/>
                        </w:rPr>
                        <w:t xml:space="preserve">, </w:t>
                      </w:r>
                      <w:r w:rsidRPr="00891089">
                        <w:rPr>
                          <w:lang w:val="en-US"/>
                        </w:rPr>
                        <w:t>Regional Integration</w:t>
                      </w:r>
                      <w:r w:rsidR="00B54A15" w:rsidRPr="00891089">
                        <w:rPr>
                          <w:lang w:val="en-US"/>
                        </w:rPr>
                        <w:t xml:space="preserve">, </w:t>
                      </w:r>
                      <w:r w:rsidR="002309F1">
                        <w:rPr>
                          <w:lang w:val="en-US"/>
                        </w:rPr>
                        <w:t xml:space="preserve">Energy Integration, </w:t>
                      </w:r>
                      <w:r w:rsidRPr="00891089">
                        <w:rPr>
                          <w:lang w:val="en-US"/>
                        </w:rPr>
                        <w:t>Mercosur</w:t>
                      </w:r>
                      <w:r w:rsidR="00B54A15" w:rsidRPr="00891089">
                        <w:rPr>
                          <w:lang w:val="en-US"/>
                        </w:rPr>
                        <w:t xml:space="preserve">, </w:t>
                      </w:r>
                      <w:r w:rsidRPr="00891089">
                        <w:rPr>
                          <w:lang w:val="en-US"/>
                        </w:rPr>
                        <w:t>UNASUR</w:t>
                      </w:r>
                    </w:p>
                  </w:txbxContent>
                </v:textbox>
              </v:rect>
            </w:pict>
          </mc:Fallback>
        </mc:AlternateContent>
      </w:r>
    </w:p>
    <w:p w14:paraId="6DB3CAE2" w14:textId="2C62E163" w:rsidR="00DC0FFE" w:rsidRPr="002309F1" w:rsidRDefault="00DC0FFE" w:rsidP="00DC0FFE">
      <w:pPr>
        <w:ind w:right="-522"/>
        <w:rPr>
          <w:lang w:val="en-US"/>
        </w:rPr>
      </w:pPr>
    </w:p>
    <w:p w14:paraId="257B3A50" w14:textId="77777777" w:rsidR="00DC0FFE" w:rsidRPr="002309F1" w:rsidRDefault="00DC0FFE" w:rsidP="00DC0FFE">
      <w:pPr>
        <w:ind w:right="-522"/>
        <w:rPr>
          <w:lang w:val="en-US"/>
        </w:rPr>
      </w:pPr>
    </w:p>
    <w:p w14:paraId="0378CC6F" w14:textId="77777777" w:rsidR="00DC0FFE" w:rsidRPr="002309F1" w:rsidRDefault="00DC0FFE" w:rsidP="00DC0FFE">
      <w:pPr>
        <w:ind w:right="-522"/>
        <w:jc w:val="center"/>
        <w:rPr>
          <w:b/>
          <w:lang w:val="en-US"/>
        </w:rPr>
      </w:pPr>
    </w:p>
    <w:p w14:paraId="5B8BE669" w14:textId="77777777" w:rsidR="00005E25" w:rsidRPr="002309F1" w:rsidRDefault="00005E25" w:rsidP="00DC0FFE">
      <w:pPr>
        <w:pStyle w:val="Corpodetexto2"/>
        <w:spacing w:before="120"/>
        <w:rPr>
          <w:sz w:val="22"/>
          <w:lang w:val="en-US"/>
        </w:rPr>
      </w:pPr>
    </w:p>
    <w:p w14:paraId="70DAC847" w14:textId="77777777" w:rsidR="00891089" w:rsidRPr="002309F1" w:rsidRDefault="00891089" w:rsidP="00DC0FFE">
      <w:pPr>
        <w:pStyle w:val="Corpodetexto2"/>
        <w:spacing w:before="120"/>
        <w:rPr>
          <w:sz w:val="22"/>
          <w:lang w:val="en-US"/>
        </w:rPr>
        <w:sectPr w:rsidR="00891089" w:rsidRPr="002309F1" w:rsidSect="002F696D">
          <w:pgSz w:w="11906" w:h="16838" w:code="9"/>
          <w:pgMar w:top="510" w:right="1134" w:bottom="1134" w:left="1418" w:header="709" w:footer="709" w:gutter="0"/>
          <w:cols w:space="708"/>
          <w:docGrid w:linePitch="360"/>
        </w:sectPr>
      </w:pPr>
    </w:p>
    <w:p w14:paraId="21133C43" w14:textId="36D1ED74" w:rsidR="00005E25" w:rsidRPr="002309F1" w:rsidRDefault="00AE5FDB" w:rsidP="00005E25">
      <w:pPr>
        <w:jc w:val="both"/>
        <w:rPr>
          <w:rFonts w:ascii="Arial" w:hAnsi="Arial" w:cs="Arial"/>
          <w:sz w:val="22"/>
          <w:szCs w:val="22"/>
          <w:lang w:val="en-US"/>
        </w:rPr>
      </w:pPr>
      <w:r w:rsidRPr="002309F1">
        <w:rPr>
          <w:rFonts w:ascii="Arial" w:hAnsi="Arial" w:cs="Arial"/>
          <w:b/>
          <w:sz w:val="22"/>
          <w:szCs w:val="22"/>
          <w:lang w:val="en-US"/>
        </w:rPr>
        <w:t>INTRODUCTION</w:t>
      </w:r>
    </w:p>
    <w:p w14:paraId="79FBA250" w14:textId="62CD1028" w:rsidR="00753B5E" w:rsidRPr="002309F1" w:rsidRDefault="00E354D8" w:rsidP="00753B5E">
      <w:pPr>
        <w:tabs>
          <w:tab w:val="left" w:pos="8080"/>
        </w:tabs>
        <w:jc w:val="both"/>
        <w:rPr>
          <w:rFonts w:ascii="Arial" w:hAnsi="Arial" w:cs="Arial"/>
          <w:sz w:val="22"/>
          <w:lang w:val="en-US"/>
        </w:rPr>
      </w:pPr>
      <w:r w:rsidRPr="002309F1">
        <w:rPr>
          <w:rFonts w:ascii="Arial" w:hAnsi="Arial" w:cs="Arial"/>
          <w:sz w:val="22"/>
          <w:szCs w:val="22"/>
          <w:lang w:val="en-US"/>
        </w:rPr>
        <w:t xml:space="preserve">This work shows the main findings </w:t>
      </w:r>
      <w:r w:rsidR="00753B5E" w:rsidRPr="002309F1">
        <w:rPr>
          <w:rFonts w:ascii="Arial" w:hAnsi="Arial" w:cs="Arial"/>
          <w:sz w:val="22"/>
          <w:szCs w:val="22"/>
          <w:lang w:val="en-US"/>
        </w:rPr>
        <w:t>of a PhD thesis that</w:t>
      </w:r>
      <w:r w:rsidR="00753B5E" w:rsidRPr="002309F1">
        <w:rPr>
          <w:rFonts w:ascii="Arial" w:hAnsi="Arial" w:cs="Arial"/>
          <w:sz w:val="22"/>
          <w:lang w:val="en-US"/>
        </w:rPr>
        <w:t xml:space="preserve"> questions and challenges many issues and concepts assumed as true by the specialized literature, which, consequently, have impacts on the different decisions of policy makers. </w:t>
      </w:r>
      <w:r w:rsidR="00AE5FDB" w:rsidRPr="002309F1">
        <w:rPr>
          <w:rFonts w:ascii="Arial" w:hAnsi="Arial" w:cs="Arial"/>
          <w:sz w:val="22"/>
          <w:lang w:val="en-US"/>
        </w:rPr>
        <w:t xml:space="preserve">Based on </w:t>
      </w:r>
      <w:r w:rsidR="002309F1">
        <w:rPr>
          <w:rFonts w:ascii="Arial" w:hAnsi="Arial" w:cs="Arial"/>
          <w:sz w:val="22"/>
          <w:lang w:val="en-US"/>
        </w:rPr>
        <w:t>a large</w:t>
      </w:r>
      <w:r w:rsidR="00AE5FDB" w:rsidRPr="002309F1">
        <w:rPr>
          <w:rFonts w:ascii="Arial" w:hAnsi="Arial" w:cs="Arial"/>
          <w:sz w:val="22"/>
          <w:lang w:val="en-US"/>
        </w:rPr>
        <w:t xml:space="preserve"> literature, we </w:t>
      </w:r>
      <w:r w:rsidR="00753B5E" w:rsidRPr="002309F1">
        <w:rPr>
          <w:rFonts w:ascii="Arial" w:hAnsi="Arial" w:cs="Arial"/>
          <w:sz w:val="22"/>
          <w:lang w:val="en-US"/>
        </w:rPr>
        <w:t xml:space="preserve">understand </w:t>
      </w:r>
      <w:r w:rsidR="00AE5FDB" w:rsidRPr="002309F1">
        <w:rPr>
          <w:rFonts w:ascii="Arial" w:hAnsi="Arial" w:cs="Arial"/>
          <w:sz w:val="22"/>
          <w:lang w:val="en-US"/>
        </w:rPr>
        <w:t xml:space="preserve">that </w:t>
      </w:r>
      <w:r w:rsidR="00753B5E" w:rsidRPr="002309F1">
        <w:rPr>
          <w:rFonts w:ascii="Arial" w:hAnsi="Arial" w:cs="Arial"/>
          <w:sz w:val="22"/>
          <w:lang w:val="en-US"/>
        </w:rPr>
        <w:t>the concept of energy security results abstract and vague (in the sense that it fits almost everything) and often ends up as instrument for specific and disconnected purposes. The</w:t>
      </w:r>
      <w:r w:rsidR="00AE5FDB" w:rsidRPr="002309F1">
        <w:rPr>
          <w:rFonts w:ascii="Arial" w:hAnsi="Arial" w:cs="Arial"/>
          <w:sz w:val="22"/>
          <w:lang w:val="en-US"/>
        </w:rPr>
        <w:t>n, the</w:t>
      </w:r>
      <w:r w:rsidR="00753B5E" w:rsidRPr="002309F1">
        <w:rPr>
          <w:rFonts w:ascii="Arial" w:hAnsi="Arial" w:cs="Arial"/>
          <w:sz w:val="22"/>
          <w:lang w:val="en-US"/>
        </w:rPr>
        <w:t xml:space="preserve"> idea is not to eliminate the concept nor to disregard its relevance, but to show its limitations and changes over the last decades. Therefore, the thesis proposes the concept of regional energy security, which incorporates more than one country in the analysis and, to achieve it in the context of South America (and Mercosur in particular), an essential tool is </w:t>
      </w:r>
      <w:r w:rsidR="00AE5FDB" w:rsidRPr="002309F1">
        <w:rPr>
          <w:rFonts w:ascii="Arial" w:hAnsi="Arial" w:cs="Arial"/>
          <w:sz w:val="22"/>
          <w:lang w:val="en-US"/>
        </w:rPr>
        <w:t xml:space="preserve">to promote </w:t>
      </w:r>
      <w:r w:rsidR="00753B5E" w:rsidRPr="002309F1">
        <w:rPr>
          <w:rFonts w:ascii="Arial" w:hAnsi="Arial" w:cs="Arial"/>
          <w:sz w:val="22"/>
          <w:lang w:val="en-US"/>
        </w:rPr>
        <w:t>the regional energy integration.</w:t>
      </w:r>
    </w:p>
    <w:p w14:paraId="458EDE4F" w14:textId="77777777" w:rsidR="00005E25" w:rsidRPr="002309F1" w:rsidRDefault="00005E25" w:rsidP="00005E25">
      <w:pPr>
        <w:jc w:val="both"/>
        <w:rPr>
          <w:rFonts w:ascii="Arial" w:hAnsi="Arial" w:cs="Arial"/>
          <w:sz w:val="22"/>
          <w:szCs w:val="22"/>
          <w:lang w:val="en-US"/>
        </w:rPr>
      </w:pPr>
    </w:p>
    <w:p w14:paraId="14F3514C" w14:textId="77777777" w:rsidR="00005E25" w:rsidRPr="002309F1" w:rsidRDefault="00005E25" w:rsidP="00005E25">
      <w:pPr>
        <w:jc w:val="both"/>
        <w:rPr>
          <w:rFonts w:ascii="Arial" w:hAnsi="Arial" w:cs="Arial"/>
          <w:sz w:val="22"/>
          <w:szCs w:val="22"/>
          <w:lang w:val="en-US"/>
        </w:rPr>
      </w:pPr>
    </w:p>
    <w:p w14:paraId="558286DB" w14:textId="2E8F5B93" w:rsidR="00005E25" w:rsidRPr="002309F1" w:rsidRDefault="00AE5FDB" w:rsidP="00005E25">
      <w:pPr>
        <w:jc w:val="both"/>
        <w:rPr>
          <w:rFonts w:ascii="Arial" w:hAnsi="Arial" w:cs="Arial"/>
          <w:sz w:val="22"/>
          <w:szCs w:val="22"/>
          <w:lang w:val="en-US"/>
        </w:rPr>
      </w:pPr>
      <w:r w:rsidRPr="002309F1">
        <w:rPr>
          <w:rFonts w:ascii="Arial" w:hAnsi="Arial" w:cs="Arial"/>
          <w:b/>
          <w:caps/>
          <w:sz w:val="22"/>
          <w:szCs w:val="22"/>
          <w:lang w:val="en-US"/>
        </w:rPr>
        <w:t>MAIN FINDINGS</w:t>
      </w:r>
    </w:p>
    <w:p w14:paraId="346DDB91" w14:textId="5CFEE729" w:rsidR="00AE5FDB" w:rsidRPr="002309F1" w:rsidRDefault="00AE5FDB" w:rsidP="00AE5FDB">
      <w:pPr>
        <w:tabs>
          <w:tab w:val="left" w:pos="8080"/>
        </w:tabs>
        <w:jc w:val="both"/>
        <w:rPr>
          <w:rFonts w:ascii="Arial" w:hAnsi="Arial" w:cs="Arial"/>
          <w:sz w:val="22"/>
          <w:lang w:val="en-US"/>
        </w:rPr>
      </w:pPr>
      <w:r w:rsidRPr="002309F1">
        <w:rPr>
          <w:rFonts w:ascii="Arial" w:hAnsi="Arial" w:cs="Arial"/>
          <w:sz w:val="22"/>
          <w:lang w:val="en-US"/>
        </w:rPr>
        <w:t>Regional integration is often divided into categories, such as economic/commercial, political and physical. Although this may make sense from a pedagogical and analytical point of view, we concluded that this has a very negative impact on the theory and practice of regional integration. This happens because energy integration, the cornerstone of this thesis, is often associated with physical integration, creating the illusion that it is therefore only a technical discussion. This subdivision into categories hides the interdisciplinary, transversal, dynamic and particular features of each experience, hindering dialogue between contributions from Economics, Politics, International Relations, Law, History and Geography, for instance.</w:t>
      </w:r>
    </w:p>
    <w:p w14:paraId="542BD624" w14:textId="77777777" w:rsidR="00AE5FDB" w:rsidRPr="002309F1" w:rsidRDefault="00AE5FDB" w:rsidP="00AE5FDB">
      <w:pPr>
        <w:tabs>
          <w:tab w:val="left" w:pos="8080"/>
        </w:tabs>
        <w:jc w:val="both"/>
        <w:rPr>
          <w:rFonts w:ascii="Arial" w:hAnsi="Arial" w:cs="Arial"/>
          <w:sz w:val="22"/>
          <w:lang w:val="en-US"/>
        </w:rPr>
      </w:pPr>
    </w:p>
    <w:p w14:paraId="758D14FA" w14:textId="77777777" w:rsidR="00AE5FDB" w:rsidRPr="002309F1" w:rsidRDefault="00AE5FDB" w:rsidP="00AE5FDB">
      <w:pPr>
        <w:tabs>
          <w:tab w:val="left" w:pos="8080"/>
        </w:tabs>
        <w:jc w:val="both"/>
        <w:rPr>
          <w:rFonts w:ascii="Arial" w:hAnsi="Arial" w:cs="Arial"/>
          <w:sz w:val="22"/>
          <w:lang w:val="en-US"/>
        </w:rPr>
      </w:pPr>
      <w:r w:rsidRPr="002309F1">
        <w:rPr>
          <w:rFonts w:ascii="Arial" w:hAnsi="Arial" w:cs="Arial"/>
          <w:sz w:val="22"/>
          <w:lang w:val="en-US"/>
        </w:rPr>
        <w:t xml:space="preserve">When it specifically comes to energy integration, we conclude that the concept of integration, which is already used </w:t>
      </w:r>
      <w:r w:rsidRPr="002309F1">
        <w:rPr>
          <w:rFonts w:ascii="Arial" w:hAnsi="Arial" w:cs="Arial"/>
          <w:sz w:val="22"/>
          <w:lang w:val="en-US"/>
        </w:rPr>
        <w:t>indiscriminately, becomes even more confusing. This is because (</w:t>
      </w:r>
      <w:proofErr w:type="spellStart"/>
      <w:r w:rsidRPr="002309F1">
        <w:rPr>
          <w:rFonts w:ascii="Arial" w:hAnsi="Arial" w:cs="Arial"/>
          <w:sz w:val="22"/>
          <w:lang w:val="en-US"/>
        </w:rPr>
        <w:t>i</w:t>
      </w:r>
      <w:proofErr w:type="spellEnd"/>
      <w:r w:rsidRPr="002309F1">
        <w:rPr>
          <w:rFonts w:ascii="Arial" w:hAnsi="Arial" w:cs="Arial"/>
          <w:sz w:val="22"/>
          <w:lang w:val="en-US"/>
        </w:rPr>
        <w:t xml:space="preserve">) integration is not synonymous of neither trade nor cooperation; and (ii) in the energy world, there is a recent discussion of the integration of non-conventional renewable energy (NCRE). Thus, the discussion of energy integration becomes more heterogeneous and, therefore, less precise. </w:t>
      </w:r>
    </w:p>
    <w:p w14:paraId="30C3119A" w14:textId="77777777" w:rsidR="00AE5FDB" w:rsidRPr="002309F1" w:rsidRDefault="00AE5FDB" w:rsidP="00AE5FDB">
      <w:pPr>
        <w:tabs>
          <w:tab w:val="left" w:pos="8080"/>
        </w:tabs>
        <w:jc w:val="both"/>
        <w:rPr>
          <w:rFonts w:ascii="Arial" w:hAnsi="Arial" w:cs="Arial"/>
          <w:sz w:val="22"/>
          <w:lang w:val="en-US"/>
        </w:rPr>
      </w:pPr>
    </w:p>
    <w:p w14:paraId="406AA9B7" w14:textId="77777777" w:rsidR="00AE5FDB" w:rsidRPr="002309F1" w:rsidRDefault="00AE5FDB" w:rsidP="00AE5FDB">
      <w:pPr>
        <w:tabs>
          <w:tab w:val="left" w:pos="8080"/>
        </w:tabs>
        <w:jc w:val="both"/>
        <w:rPr>
          <w:rFonts w:ascii="Arial" w:hAnsi="Arial" w:cs="Arial"/>
          <w:sz w:val="22"/>
          <w:lang w:val="en-US"/>
        </w:rPr>
      </w:pPr>
      <w:r w:rsidRPr="002309F1">
        <w:rPr>
          <w:rFonts w:ascii="Arial" w:hAnsi="Arial" w:cs="Arial"/>
          <w:sz w:val="22"/>
          <w:lang w:val="en-US"/>
        </w:rPr>
        <w:t>Another conclusion is that there is an extra blur when evaluating Mercosur, since there is no pattern for the countries analyzed: some studies only assess its original formation (Argentina, Brazil, Paraguay and Uruguay), others incorporate Chile, sometimes Venezuela or even Bolivia. In general, the official formation of the bloc is not respected, what makes it even more difficult to understand the literature.</w:t>
      </w:r>
    </w:p>
    <w:p w14:paraId="4687085A" w14:textId="77777777" w:rsidR="00AE5FDB" w:rsidRPr="002309F1" w:rsidRDefault="00AE5FDB" w:rsidP="00AE5FDB">
      <w:pPr>
        <w:tabs>
          <w:tab w:val="left" w:pos="8080"/>
        </w:tabs>
        <w:jc w:val="both"/>
        <w:rPr>
          <w:rFonts w:ascii="Arial" w:hAnsi="Arial" w:cs="Arial"/>
          <w:sz w:val="22"/>
          <w:lang w:val="en-US"/>
        </w:rPr>
      </w:pPr>
    </w:p>
    <w:p w14:paraId="56FDA4BA" w14:textId="77777777" w:rsidR="00AE5FDB" w:rsidRPr="002309F1" w:rsidRDefault="00AE5FDB" w:rsidP="00AE5FDB">
      <w:pPr>
        <w:tabs>
          <w:tab w:val="left" w:pos="8080"/>
        </w:tabs>
        <w:jc w:val="both"/>
        <w:rPr>
          <w:rFonts w:ascii="Arial" w:hAnsi="Arial" w:cs="Arial"/>
          <w:sz w:val="22"/>
          <w:lang w:val="en-US"/>
        </w:rPr>
      </w:pPr>
      <w:r w:rsidRPr="002309F1">
        <w:rPr>
          <w:rFonts w:ascii="Arial" w:hAnsi="Arial" w:cs="Arial"/>
          <w:sz w:val="22"/>
          <w:lang w:val="en-US"/>
        </w:rPr>
        <w:t xml:space="preserve">It has also been argued that studies of comparative regionalism are very common in the regional integration literature. While this may be interesting and positive, if it is not done with caution and care, the naive notion that there is an appropriate (single) path to follow would be reinforced, whether from the European (MIBEL and </w:t>
      </w:r>
      <w:proofErr w:type="spellStart"/>
      <w:r w:rsidRPr="002309F1">
        <w:rPr>
          <w:rFonts w:ascii="Arial" w:hAnsi="Arial" w:cs="Arial"/>
          <w:sz w:val="22"/>
          <w:lang w:val="en-US"/>
        </w:rPr>
        <w:t>Nordpool</w:t>
      </w:r>
      <w:proofErr w:type="spellEnd"/>
      <w:r w:rsidRPr="002309F1">
        <w:rPr>
          <w:rFonts w:ascii="Arial" w:hAnsi="Arial" w:cs="Arial"/>
          <w:sz w:val="22"/>
          <w:lang w:val="en-US"/>
        </w:rPr>
        <w:t>), Asian (ASEAN) or Central America (SIEPAC) experiences as the only ways to be pursued by our regional energy initiatives. Therefore, we concluded that there are no one-size-fits-all solutions when it comes to regional integration, mainly when coping with energy integration.</w:t>
      </w:r>
    </w:p>
    <w:p w14:paraId="45584281" w14:textId="77777777" w:rsidR="00AE5FDB" w:rsidRPr="002309F1" w:rsidRDefault="00AE5FDB" w:rsidP="00AE5FDB">
      <w:pPr>
        <w:tabs>
          <w:tab w:val="left" w:pos="8080"/>
        </w:tabs>
        <w:jc w:val="both"/>
        <w:rPr>
          <w:rFonts w:ascii="Arial" w:hAnsi="Arial" w:cs="Arial"/>
          <w:sz w:val="22"/>
          <w:lang w:val="en-US"/>
        </w:rPr>
      </w:pPr>
    </w:p>
    <w:p w14:paraId="56760BB6" w14:textId="77777777" w:rsidR="008B1F13" w:rsidRPr="002309F1" w:rsidRDefault="008B1F13" w:rsidP="00AE5FDB">
      <w:pPr>
        <w:tabs>
          <w:tab w:val="left" w:pos="8080"/>
        </w:tabs>
        <w:jc w:val="both"/>
        <w:rPr>
          <w:rFonts w:ascii="Arial" w:hAnsi="Arial" w:cs="Arial"/>
          <w:sz w:val="22"/>
          <w:lang w:val="en-US"/>
        </w:rPr>
      </w:pPr>
    </w:p>
    <w:p w14:paraId="09AC27E0" w14:textId="2559F53A" w:rsidR="008B1F13" w:rsidRPr="002309F1" w:rsidRDefault="008B1F13" w:rsidP="00AE5FDB">
      <w:pPr>
        <w:tabs>
          <w:tab w:val="left" w:pos="8080"/>
        </w:tabs>
        <w:jc w:val="both"/>
        <w:rPr>
          <w:rFonts w:ascii="Arial" w:hAnsi="Arial" w:cs="Arial"/>
          <w:b/>
          <w:sz w:val="22"/>
          <w:lang w:val="en-US"/>
        </w:rPr>
      </w:pPr>
      <w:r w:rsidRPr="002309F1">
        <w:rPr>
          <w:rFonts w:ascii="Arial" w:hAnsi="Arial" w:cs="Arial"/>
          <w:b/>
          <w:sz w:val="22"/>
          <w:lang w:val="en-US"/>
        </w:rPr>
        <w:t>ISSUES TO TAKE INTO ACCOUNT</w:t>
      </w:r>
    </w:p>
    <w:p w14:paraId="5BA545D7" w14:textId="77777777" w:rsidR="00AE5FDB" w:rsidRPr="002309F1" w:rsidRDefault="00AE5FDB" w:rsidP="00AE5FDB">
      <w:pPr>
        <w:tabs>
          <w:tab w:val="left" w:pos="8080"/>
        </w:tabs>
        <w:jc w:val="both"/>
        <w:rPr>
          <w:rFonts w:ascii="Arial" w:hAnsi="Arial" w:cs="Arial"/>
          <w:sz w:val="22"/>
          <w:lang w:val="en-US"/>
        </w:rPr>
      </w:pPr>
      <w:r w:rsidRPr="002309F1">
        <w:rPr>
          <w:rFonts w:ascii="Arial" w:hAnsi="Arial" w:cs="Arial"/>
          <w:sz w:val="22"/>
          <w:lang w:val="en-US"/>
        </w:rPr>
        <w:t xml:space="preserve">From the existence of different benefits and barriers to energy integration in Mercosur, we established that it would be necessary to deal with issues of commercial, operational and institutional natures. Events such as nationalization of assets (Bolivia and Venezuela), interruption of contracted energy supply (Argentina to Chile, and </w:t>
      </w:r>
      <w:r w:rsidRPr="002309F1">
        <w:rPr>
          <w:rFonts w:ascii="Arial" w:hAnsi="Arial" w:cs="Arial"/>
          <w:sz w:val="22"/>
          <w:lang w:val="en-US"/>
        </w:rPr>
        <w:lastRenderedPageBreak/>
        <w:t xml:space="preserve">Venezuela to Roraima, and </w:t>
      </w:r>
      <w:proofErr w:type="spellStart"/>
      <w:r w:rsidRPr="002309F1">
        <w:rPr>
          <w:rFonts w:ascii="Arial" w:hAnsi="Arial" w:cs="Arial"/>
          <w:sz w:val="22"/>
          <w:lang w:val="en-US"/>
        </w:rPr>
        <w:t>Petrocaribe</w:t>
      </w:r>
      <w:proofErr w:type="spellEnd"/>
      <w:r w:rsidRPr="002309F1">
        <w:rPr>
          <w:rFonts w:ascii="Arial" w:hAnsi="Arial" w:cs="Arial"/>
          <w:sz w:val="22"/>
          <w:lang w:val="en-US"/>
        </w:rPr>
        <w:t xml:space="preserve">) and request for renegotiation of the agreement signed (Paraguay for Brazil, in the case of </w:t>
      </w:r>
      <w:proofErr w:type="spellStart"/>
      <w:r w:rsidRPr="002309F1">
        <w:rPr>
          <w:rFonts w:ascii="Arial" w:hAnsi="Arial" w:cs="Arial"/>
          <w:sz w:val="22"/>
          <w:lang w:val="en-US"/>
        </w:rPr>
        <w:t>Itaipu</w:t>
      </w:r>
      <w:proofErr w:type="spellEnd"/>
      <w:r w:rsidRPr="002309F1">
        <w:rPr>
          <w:rFonts w:ascii="Arial" w:hAnsi="Arial" w:cs="Arial"/>
          <w:sz w:val="22"/>
          <w:lang w:val="en-US"/>
        </w:rPr>
        <w:t>) created a bad and pessimistic history for the advancement of the process. In addition, the relative abundance of energy resources of the countries of the region does not push for integration, leading to (</w:t>
      </w:r>
      <w:proofErr w:type="spellStart"/>
      <w:r w:rsidRPr="002309F1">
        <w:rPr>
          <w:rFonts w:ascii="Arial" w:hAnsi="Arial" w:cs="Arial"/>
          <w:sz w:val="22"/>
          <w:lang w:val="en-US"/>
        </w:rPr>
        <w:t>i</w:t>
      </w:r>
      <w:proofErr w:type="spellEnd"/>
      <w:r w:rsidRPr="002309F1">
        <w:rPr>
          <w:rFonts w:ascii="Arial" w:hAnsi="Arial" w:cs="Arial"/>
          <w:sz w:val="22"/>
          <w:lang w:val="en-US"/>
        </w:rPr>
        <w:t>) sub-optimal exploitation of these resources; (ii) overestimation of the need for investments; and (iii) underutilization of existing facilities and opportunities.</w:t>
      </w:r>
    </w:p>
    <w:p w14:paraId="1B5E0FE9" w14:textId="77777777" w:rsidR="00AE5FDB" w:rsidRPr="002309F1" w:rsidRDefault="00AE5FDB" w:rsidP="00AE5FDB">
      <w:pPr>
        <w:tabs>
          <w:tab w:val="left" w:pos="8080"/>
        </w:tabs>
        <w:jc w:val="both"/>
        <w:rPr>
          <w:rFonts w:ascii="Arial" w:hAnsi="Arial" w:cs="Arial"/>
          <w:sz w:val="22"/>
          <w:lang w:val="en-US"/>
        </w:rPr>
      </w:pPr>
    </w:p>
    <w:p w14:paraId="6E7533E0" w14:textId="77777777" w:rsidR="00AE5FDB" w:rsidRPr="002309F1" w:rsidRDefault="00AE5FDB" w:rsidP="00AE5FDB">
      <w:pPr>
        <w:tabs>
          <w:tab w:val="left" w:pos="8080"/>
        </w:tabs>
        <w:jc w:val="both"/>
        <w:rPr>
          <w:rFonts w:ascii="Arial" w:hAnsi="Arial" w:cs="Arial"/>
          <w:sz w:val="22"/>
          <w:lang w:val="en-US"/>
        </w:rPr>
      </w:pPr>
      <w:r w:rsidRPr="002309F1">
        <w:rPr>
          <w:rFonts w:ascii="Arial" w:hAnsi="Arial" w:cs="Arial"/>
          <w:sz w:val="22"/>
          <w:lang w:val="en-US"/>
        </w:rPr>
        <w:t>Brazil is often given the essential role in regional energy integration due to its expertise with SIN, since it borders ten countries in South America (except Chile and Ecuador) and because of its territorial extension. However, we established that Argentina and Bolivia have a central role in promoting regional energy integration. The fact that they have borders with five countries each, water resources in abundance, and large-scale conventional and non-conventional reserves places them in a strategic position in promoting regional (physical) energy integration. Peru also plays a significant role, particularly due to its borders with four countries in the region and an enormous hydroelectric potential available.</w:t>
      </w:r>
    </w:p>
    <w:p w14:paraId="65FC3896" w14:textId="77777777" w:rsidR="00AE5FDB" w:rsidRPr="002309F1" w:rsidRDefault="00AE5FDB" w:rsidP="00AE5FDB">
      <w:pPr>
        <w:tabs>
          <w:tab w:val="left" w:pos="8080"/>
        </w:tabs>
        <w:jc w:val="both"/>
        <w:rPr>
          <w:rFonts w:ascii="Arial" w:hAnsi="Arial" w:cs="Arial"/>
          <w:sz w:val="22"/>
          <w:lang w:val="en-US"/>
        </w:rPr>
      </w:pPr>
    </w:p>
    <w:p w14:paraId="2154125C" w14:textId="77777777" w:rsidR="00AE5FDB" w:rsidRPr="002309F1" w:rsidRDefault="00AE5FDB" w:rsidP="00AE5FDB">
      <w:pPr>
        <w:tabs>
          <w:tab w:val="left" w:pos="8080"/>
        </w:tabs>
        <w:jc w:val="both"/>
        <w:rPr>
          <w:rFonts w:ascii="Arial" w:hAnsi="Arial" w:cs="Arial"/>
          <w:sz w:val="22"/>
          <w:lang w:val="en-US"/>
        </w:rPr>
      </w:pPr>
      <w:r w:rsidRPr="002309F1">
        <w:rPr>
          <w:rFonts w:ascii="Arial" w:hAnsi="Arial" w:cs="Arial"/>
          <w:sz w:val="22"/>
          <w:lang w:val="en-US"/>
        </w:rPr>
        <w:t xml:space="preserve">Although it is common in the literature, we should avoid proposals centered only on Brazil, using its neighbor countries as ‘annexes’ to supply its needs. Regional energy integration planning should be joint and participatory, taking into account the needs of the different countries involved in the process. On the other hand, the recent fact that Brazil does not have substantial threats to guarantee its energy supply, the discovery of the pre-salt, the economic viability of new energy sources and the reduction of national demand itself may help distort the trust other countries have placed in Brazil. In this way, the current moment is an ideal opportunity for Brazil to return to this regional agenda, although the </w:t>
      </w:r>
      <w:proofErr w:type="spellStart"/>
      <w:r w:rsidRPr="002309F1">
        <w:rPr>
          <w:rFonts w:ascii="Arial" w:hAnsi="Arial" w:cs="Arial"/>
          <w:sz w:val="22"/>
          <w:lang w:val="en-US"/>
        </w:rPr>
        <w:t>conjunctural</w:t>
      </w:r>
      <w:proofErr w:type="spellEnd"/>
      <w:r w:rsidRPr="002309F1">
        <w:rPr>
          <w:rFonts w:ascii="Arial" w:hAnsi="Arial" w:cs="Arial"/>
          <w:sz w:val="22"/>
          <w:lang w:val="en-US"/>
        </w:rPr>
        <w:t xml:space="preserve"> uncertainties make it difficult and delay this movement.</w:t>
      </w:r>
    </w:p>
    <w:p w14:paraId="1813B7A6" w14:textId="77777777" w:rsidR="00AE5FDB" w:rsidRPr="002309F1" w:rsidRDefault="00AE5FDB" w:rsidP="00AE5FDB">
      <w:pPr>
        <w:pStyle w:val="Seo"/>
        <w:numPr>
          <w:ilvl w:val="0"/>
          <w:numId w:val="0"/>
        </w:numPr>
        <w:shd w:val="clear" w:color="auto" w:fill="auto"/>
        <w:tabs>
          <w:tab w:val="left" w:pos="8080"/>
        </w:tabs>
        <w:spacing w:after="160" w:line="240" w:lineRule="auto"/>
        <w:rPr>
          <w:rFonts w:ascii="Arial" w:hAnsi="Arial" w:cs="Arial"/>
          <w:b w:val="0"/>
          <w:color w:val="auto"/>
          <w:sz w:val="22"/>
          <w:lang w:val="en-US"/>
        </w:rPr>
      </w:pPr>
    </w:p>
    <w:p w14:paraId="3151222C" w14:textId="77777777" w:rsidR="00AE5FDB" w:rsidRPr="002309F1" w:rsidRDefault="00AE5FDB" w:rsidP="00AE5FDB">
      <w:pPr>
        <w:pStyle w:val="Seo"/>
        <w:numPr>
          <w:ilvl w:val="0"/>
          <w:numId w:val="0"/>
        </w:numPr>
        <w:shd w:val="clear" w:color="auto" w:fill="auto"/>
        <w:tabs>
          <w:tab w:val="left" w:pos="8080"/>
        </w:tabs>
        <w:spacing w:after="160" w:line="240" w:lineRule="auto"/>
        <w:rPr>
          <w:rFonts w:ascii="Arial" w:hAnsi="Arial" w:cs="Arial"/>
          <w:b w:val="0"/>
          <w:color w:val="auto"/>
          <w:sz w:val="22"/>
          <w:lang w:val="en-US"/>
        </w:rPr>
      </w:pPr>
      <w:r w:rsidRPr="002309F1">
        <w:rPr>
          <w:rFonts w:ascii="Arial" w:hAnsi="Arial" w:cs="Arial"/>
          <w:b w:val="0"/>
          <w:color w:val="auto"/>
          <w:sz w:val="22"/>
          <w:lang w:val="en-US"/>
        </w:rPr>
        <w:t>In general, it was possible to conclude that regional energy integration projects have been at the mercy of three main variables: (</w:t>
      </w:r>
      <w:proofErr w:type="spellStart"/>
      <w:r w:rsidRPr="002309F1">
        <w:rPr>
          <w:rFonts w:ascii="Arial" w:hAnsi="Arial" w:cs="Arial"/>
          <w:b w:val="0"/>
          <w:color w:val="auto"/>
          <w:sz w:val="22"/>
          <w:lang w:val="en-US"/>
        </w:rPr>
        <w:t>i</w:t>
      </w:r>
      <w:proofErr w:type="spellEnd"/>
      <w:r w:rsidRPr="002309F1">
        <w:rPr>
          <w:rFonts w:ascii="Arial" w:hAnsi="Arial" w:cs="Arial"/>
          <w:b w:val="0"/>
          <w:color w:val="auto"/>
          <w:sz w:val="22"/>
          <w:lang w:val="en-US"/>
        </w:rPr>
        <w:t xml:space="preserve">) the famous (and old) dichotomy between government policy and State policy, which affects the support of certain interests in time (even by the lack of a solid project); (ii) the macroeconomic (inter)national context, </w:t>
      </w:r>
      <w:r w:rsidRPr="002309F1">
        <w:rPr>
          <w:rFonts w:ascii="Arial" w:hAnsi="Arial" w:cs="Arial"/>
          <w:b w:val="0"/>
          <w:color w:val="auto"/>
          <w:sz w:val="22"/>
          <w:lang w:val="en-US"/>
        </w:rPr>
        <w:t>which affects investment levels and priority agendas of these countries; and (iii) the asymmetric weight that projects play for the different countries involved, which affects the commitment and interest in making them regional realities. In addition, it was concluded that the institutional, regulatory and resource endowments structure between these countries is extremely diverse and, once again, asymmetric.</w:t>
      </w:r>
    </w:p>
    <w:p w14:paraId="1098C828" w14:textId="77777777" w:rsidR="00AE5FDB" w:rsidRPr="002309F1" w:rsidRDefault="00AE5FDB" w:rsidP="00AE5FDB">
      <w:pPr>
        <w:shd w:val="clear" w:color="auto" w:fill="FFFFFF"/>
        <w:tabs>
          <w:tab w:val="left" w:pos="8080"/>
        </w:tabs>
        <w:jc w:val="both"/>
        <w:rPr>
          <w:rFonts w:ascii="Arial" w:hAnsi="Arial" w:cs="Arial"/>
          <w:sz w:val="22"/>
          <w:lang w:val="en-US"/>
        </w:rPr>
      </w:pPr>
      <w:r w:rsidRPr="002309F1">
        <w:rPr>
          <w:rFonts w:ascii="Arial" w:hAnsi="Arial" w:cs="Arial"/>
          <w:sz w:val="22"/>
          <w:lang w:val="en-US"/>
        </w:rPr>
        <w:t xml:space="preserve">It was also established that a peculiar characteristic of Mercosur regional integration (and South American in a broader way) is the so-called presidential diplomacy, in which there is protagonist action of the heads of State in the definition of the objectives, principles and foundations. In this way, the progress of the process ends up being dependent (and vulnerable) to the domestic political situation/ideology of the countries of the region, making a sustainable long-term project impossible. </w:t>
      </w:r>
    </w:p>
    <w:p w14:paraId="0B75121B" w14:textId="77777777" w:rsidR="00AE5FDB" w:rsidRPr="002309F1" w:rsidRDefault="00AE5FDB" w:rsidP="00AE5FDB">
      <w:pPr>
        <w:shd w:val="clear" w:color="auto" w:fill="FFFFFF"/>
        <w:tabs>
          <w:tab w:val="left" w:pos="8080"/>
        </w:tabs>
        <w:jc w:val="both"/>
        <w:rPr>
          <w:rFonts w:ascii="Arial" w:hAnsi="Arial" w:cs="Arial"/>
          <w:sz w:val="22"/>
          <w:lang w:val="en-US"/>
        </w:rPr>
      </w:pPr>
    </w:p>
    <w:p w14:paraId="504355A9" w14:textId="7EB7708C" w:rsidR="00AE5FDB" w:rsidRPr="002309F1" w:rsidRDefault="008B1F13" w:rsidP="00AE5FDB">
      <w:pPr>
        <w:shd w:val="clear" w:color="auto" w:fill="FFFFFF"/>
        <w:tabs>
          <w:tab w:val="left" w:pos="8080"/>
        </w:tabs>
        <w:jc w:val="both"/>
        <w:rPr>
          <w:rFonts w:ascii="Arial" w:hAnsi="Arial" w:cs="Arial"/>
          <w:lang w:val="en-US"/>
        </w:rPr>
      </w:pPr>
      <w:r w:rsidRPr="002309F1">
        <w:rPr>
          <w:rFonts w:ascii="Arial" w:hAnsi="Arial" w:cs="Arial"/>
          <w:sz w:val="22"/>
          <w:lang w:val="en-US"/>
        </w:rPr>
        <w:t xml:space="preserve">Besides, there is a </w:t>
      </w:r>
      <w:r w:rsidR="00AE5FDB" w:rsidRPr="002309F1">
        <w:rPr>
          <w:rFonts w:ascii="Arial" w:hAnsi="Arial" w:cs="Arial"/>
          <w:sz w:val="22"/>
          <w:lang w:val="en-US"/>
        </w:rPr>
        <w:t>relative loss of participation of regional financing mechanisms, such as the IDB, CAF, FONPLATA, FOCEM and BNDES, in favor of China. From a geopolitical and geo-strategic point of view, this movement demands a prompt response from the countries of the region, either by the restoration of regional autonomy or by those who historically seek to represent regional leadership, as in the case of Brazil.</w:t>
      </w:r>
    </w:p>
    <w:p w14:paraId="25444FE1" w14:textId="77777777" w:rsidR="00AE5FDB" w:rsidRPr="002309F1" w:rsidRDefault="00AE5FDB" w:rsidP="00AE5FDB">
      <w:pPr>
        <w:tabs>
          <w:tab w:val="left" w:pos="8080"/>
        </w:tabs>
        <w:jc w:val="both"/>
        <w:rPr>
          <w:rFonts w:ascii="Arial" w:hAnsi="Arial" w:cs="Arial"/>
          <w:sz w:val="22"/>
          <w:shd w:val="clear" w:color="auto" w:fill="FFFFFF"/>
          <w:lang w:val="en-US"/>
        </w:rPr>
      </w:pPr>
    </w:p>
    <w:p w14:paraId="423A17E6" w14:textId="77777777" w:rsidR="00AE5FDB" w:rsidRPr="002309F1" w:rsidRDefault="00AE5FDB" w:rsidP="00AE5FDB">
      <w:pPr>
        <w:tabs>
          <w:tab w:val="left" w:pos="8080"/>
        </w:tabs>
        <w:jc w:val="both"/>
        <w:rPr>
          <w:rFonts w:ascii="Arial" w:hAnsi="Arial" w:cs="Arial"/>
          <w:sz w:val="22"/>
          <w:lang w:val="en-US" w:eastAsia="pt-BR"/>
        </w:rPr>
      </w:pPr>
      <w:r w:rsidRPr="002309F1">
        <w:rPr>
          <w:rFonts w:ascii="Arial" w:hAnsi="Arial" w:cs="Arial"/>
          <w:sz w:val="22"/>
          <w:shd w:val="clear" w:color="auto" w:fill="FFFFFF"/>
          <w:lang w:val="en-US"/>
        </w:rPr>
        <w:t xml:space="preserve">Added to this, in practice the normative effort of Mercosur and UNASUR was not able to overcome political, technical, economic and regulatory barriers that prevent the advance of energy integration in Mercosur countries. </w:t>
      </w:r>
      <w:r w:rsidRPr="002309F1">
        <w:rPr>
          <w:rFonts w:ascii="Arial" w:hAnsi="Arial" w:cs="Arial"/>
          <w:sz w:val="22"/>
          <w:lang w:val="en-US"/>
        </w:rPr>
        <w:t xml:space="preserve">Due to the intergovernmental nature of both Mercosur and UNASUR, both institutions end up presenting limitations to their performance. Besides, </w:t>
      </w:r>
      <w:r w:rsidRPr="002309F1">
        <w:rPr>
          <w:rFonts w:ascii="Arial" w:hAnsi="Arial" w:cs="Arial"/>
          <w:sz w:val="22"/>
          <w:lang w:val="en-US" w:eastAsia="pt-BR"/>
        </w:rPr>
        <w:t xml:space="preserve">SGT-9 did not act to structure and coordinate concrete policies or projects on regional energy integration. </w:t>
      </w:r>
    </w:p>
    <w:p w14:paraId="48B93BCF" w14:textId="77777777" w:rsidR="00AE5FDB" w:rsidRPr="002309F1" w:rsidRDefault="00AE5FDB" w:rsidP="00AE5FDB">
      <w:pPr>
        <w:tabs>
          <w:tab w:val="left" w:pos="8080"/>
        </w:tabs>
        <w:jc w:val="both"/>
        <w:rPr>
          <w:rFonts w:ascii="Arial" w:hAnsi="Arial" w:cs="Arial"/>
          <w:sz w:val="22"/>
          <w:lang w:val="en-US" w:eastAsia="pt-BR"/>
        </w:rPr>
      </w:pPr>
    </w:p>
    <w:p w14:paraId="49B3B4C9" w14:textId="77777777" w:rsidR="00AE5FDB" w:rsidRPr="002309F1" w:rsidRDefault="00AE5FDB" w:rsidP="00AE5FDB">
      <w:pPr>
        <w:tabs>
          <w:tab w:val="left" w:pos="8080"/>
        </w:tabs>
        <w:jc w:val="both"/>
        <w:rPr>
          <w:rFonts w:ascii="Arial" w:hAnsi="Arial" w:cs="Arial"/>
          <w:sz w:val="22"/>
          <w:lang w:val="en-US"/>
        </w:rPr>
      </w:pPr>
      <w:r w:rsidRPr="002309F1">
        <w:rPr>
          <w:rFonts w:ascii="Arial" w:hAnsi="Arial" w:cs="Arial"/>
          <w:sz w:val="22"/>
          <w:lang w:val="en-US" w:eastAsia="pt-BR"/>
        </w:rPr>
        <w:t>A</w:t>
      </w:r>
      <w:r w:rsidRPr="002309F1">
        <w:rPr>
          <w:rFonts w:ascii="Arial" w:hAnsi="Arial" w:cs="Arial"/>
          <w:sz w:val="22"/>
          <w:lang w:val="en-US"/>
        </w:rPr>
        <w:t>lthough Mercosur, through FOCEM, and UNASUR, through UNASUR-COSIPLAN, provide funds for projects in regional infrastructure, energy projects carried out by both institutions (</w:t>
      </w:r>
      <w:proofErr w:type="spellStart"/>
      <w:r w:rsidRPr="002309F1">
        <w:rPr>
          <w:rFonts w:ascii="Arial" w:hAnsi="Arial" w:cs="Arial"/>
          <w:sz w:val="22"/>
          <w:lang w:val="en-US"/>
        </w:rPr>
        <w:t>i</w:t>
      </w:r>
      <w:proofErr w:type="spellEnd"/>
      <w:r w:rsidRPr="002309F1">
        <w:rPr>
          <w:rFonts w:ascii="Arial" w:hAnsi="Arial" w:cs="Arial"/>
          <w:sz w:val="22"/>
          <w:lang w:val="en-US"/>
        </w:rPr>
        <w:t xml:space="preserve">) are spatially concentrated in certain regions; (ii) are few (if compared to the total available value); and (iii) have been falling over time. As an adverse result, the region is experiencing not only the growth of Chinese influence, but the emergence of the Pacific Alliance (Colombia, Chile, Mexico and Peru), which </w:t>
      </w:r>
      <w:r w:rsidRPr="002309F1">
        <w:rPr>
          <w:rFonts w:ascii="Arial" w:hAnsi="Arial" w:cs="Arial"/>
          <w:sz w:val="22"/>
          <w:lang w:val="en-US"/>
        </w:rPr>
        <w:lastRenderedPageBreak/>
        <w:t>sought to replicate this energy agenda on a more modest scale, seeking a true convergence of views between the countries involved</w:t>
      </w:r>
      <w:r w:rsidRPr="002309F1">
        <w:rPr>
          <w:rFonts w:ascii="Arial" w:hAnsi="Arial" w:cs="Arial"/>
          <w:sz w:val="22"/>
          <w:shd w:val="clear" w:color="auto" w:fill="FFFFFF"/>
          <w:lang w:val="en-US"/>
        </w:rPr>
        <w:t xml:space="preserve">. Moreover, </w:t>
      </w:r>
      <w:r w:rsidRPr="002309F1">
        <w:rPr>
          <w:rFonts w:ascii="Arial" w:hAnsi="Arial" w:cs="Arial"/>
          <w:sz w:val="22"/>
          <w:lang w:val="en-US"/>
        </w:rPr>
        <w:t>the South American Energy Treaty seems very ambitious and therefore hard to move forward.</w:t>
      </w:r>
    </w:p>
    <w:p w14:paraId="05386293" w14:textId="77777777" w:rsidR="00AE5FDB" w:rsidRPr="002309F1" w:rsidRDefault="00AE5FDB" w:rsidP="00AE5FDB">
      <w:pPr>
        <w:tabs>
          <w:tab w:val="left" w:pos="8080"/>
        </w:tabs>
        <w:jc w:val="both"/>
        <w:rPr>
          <w:rFonts w:ascii="Arial" w:hAnsi="Arial" w:cs="Arial"/>
          <w:sz w:val="22"/>
          <w:lang w:val="en-US"/>
        </w:rPr>
      </w:pPr>
    </w:p>
    <w:p w14:paraId="0E2B61E2" w14:textId="77777777" w:rsidR="00AE5FDB" w:rsidRPr="002309F1" w:rsidRDefault="00AE5FDB" w:rsidP="00AE5FDB">
      <w:pPr>
        <w:tabs>
          <w:tab w:val="left" w:pos="8080"/>
        </w:tabs>
        <w:jc w:val="both"/>
        <w:rPr>
          <w:rFonts w:ascii="Arial" w:hAnsi="Arial" w:cs="Arial"/>
          <w:sz w:val="22"/>
          <w:lang w:val="en-US"/>
        </w:rPr>
      </w:pPr>
      <w:r w:rsidRPr="002309F1">
        <w:rPr>
          <w:rFonts w:ascii="Arial" w:hAnsi="Arial" w:cs="Arial"/>
          <w:sz w:val="22"/>
          <w:lang w:val="en-US"/>
        </w:rPr>
        <w:t xml:space="preserve">Thus, Mercosur’s profile for the energy agenda has hitherto been based on simple bilateral energy trade agreements, energy interconnections for convenience and, at most, international (again binational) hydroelectric and/or gas pipelines, such as </w:t>
      </w:r>
      <w:proofErr w:type="spellStart"/>
      <w:r w:rsidRPr="002309F1">
        <w:rPr>
          <w:rFonts w:ascii="Arial" w:hAnsi="Arial" w:cs="Arial"/>
          <w:sz w:val="22"/>
          <w:lang w:val="en-US"/>
        </w:rPr>
        <w:t>Itaipu</w:t>
      </w:r>
      <w:proofErr w:type="spellEnd"/>
      <w:r w:rsidRPr="002309F1">
        <w:rPr>
          <w:rFonts w:ascii="Arial" w:hAnsi="Arial" w:cs="Arial"/>
          <w:sz w:val="22"/>
          <w:lang w:val="en-US"/>
        </w:rPr>
        <w:t xml:space="preserve">, </w:t>
      </w:r>
      <w:proofErr w:type="spellStart"/>
      <w:r w:rsidRPr="002309F1">
        <w:rPr>
          <w:rFonts w:ascii="Arial" w:hAnsi="Arial" w:cs="Arial"/>
          <w:sz w:val="22"/>
          <w:lang w:val="en-US"/>
        </w:rPr>
        <w:t>Yacyretá</w:t>
      </w:r>
      <w:proofErr w:type="spellEnd"/>
      <w:r w:rsidRPr="002309F1">
        <w:rPr>
          <w:rFonts w:ascii="Arial" w:hAnsi="Arial" w:cs="Arial"/>
          <w:sz w:val="22"/>
          <w:lang w:val="en-US"/>
        </w:rPr>
        <w:t>, Salto Grande and GASBOL. Ultimately, we concluded that there is no energy integration to date that (</w:t>
      </w:r>
      <w:proofErr w:type="spellStart"/>
      <w:r w:rsidRPr="002309F1">
        <w:rPr>
          <w:rFonts w:ascii="Arial" w:hAnsi="Arial" w:cs="Arial"/>
          <w:sz w:val="22"/>
          <w:lang w:val="en-US"/>
        </w:rPr>
        <w:t>i</w:t>
      </w:r>
      <w:proofErr w:type="spellEnd"/>
      <w:r w:rsidRPr="002309F1">
        <w:rPr>
          <w:rFonts w:ascii="Arial" w:hAnsi="Arial" w:cs="Arial"/>
          <w:sz w:val="22"/>
          <w:lang w:val="en-US"/>
        </w:rPr>
        <w:t>) considers joint regional energy planning; (ii) is concerned with the harmonization of regulatory frameworks; and (iii) brings together producers, distributors and regional consumers in an integrated and participatory way.</w:t>
      </w:r>
    </w:p>
    <w:p w14:paraId="5F2A43DE" w14:textId="77777777" w:rsidR="00AE5FDB" w:rsidRPr="002309F1" w:rsidRDefault="00AE5FDB" w:rsidP="00AE5FDB">
      <w:pPr>
        <w:tabs>
          <w:tab w:val="left" w:pos="8080"/>
        </w:tabs>
        <w:jc w:val="both"/>
        <w:rPr>
          <w:rFonts w:ascii="Arial" w:hAnsi="Arial" w:cs="Arial"/>
          <w:sz w:val="22"/>
          <w:lang w:val="en-US"/>
        </w:rPr>
      </w:pPr>
    </w:p>
    <w:p w14:paraId="3156CCEE" w14:textId="77777777" w:rsidR="00AE5FDB" w:rsidRPr="002309F1" w:rsidRDefault="00AE5FDB" w:rsidP="00AE5FDB">
      <w:pPr>
        <w:tabs>
          <w:tab w:val="left" w:pos="8080"/>
        </w:tabs>
        <w:jc w:val="both"/>
        <w:rPr>
          <w:rFonts w:ascii="Arial" w:hAnsi="Arial" w:cs="Arial"/>
          <w:sz w:val="22"/>
          <w:lang w:val="en-US"/>
        </w:rPr>
      </w:pPr>
      <w:r w:rsidRPr="002309F1">
        <w:rPr>
          <w:rFonts w:ascii="Arial" w:hAnsi="Arial" w:cs="Arial"/>
          <w:sz w:val="22"/>
          <w:lang w:val="en-US"/>
        </w:rPr>
        <w:t>When it comes to the current scenario, regional energy integration should be (re)thought considering renewable energies, given the wind, solar and hydro potential of the region. More than punctually integrated in an ad hoc manner, it should be optimized taking into account the complementarity of intermittent renewable sources, rainfall regimes and consumption (given the seasonality of demand, with tradeoff between use of air conditioning and heaters in the region). Therefore, we concluded that energy integration would be an alternative to the expansion of national networks, ensuring (</w:t>
      </w:r>
      <w:proofErr w:type="spellStart"/>
      <w:r w:rsidRPr="002309F1">
        <w:rPr>
          <w:rFonts w:ascii="Arial" w:hAnsi="Arial" w:cs="Arial"/>
          <w:sz w:val="22"/>
          <w:lang w:val="en-US"/>
        </w:rPr>
        <w:t>i</w:t>
      </w:r>
      <w:proofErr w:type="spellEnd"/>
      <w:r w:rsidRPr="002309F1">
        <w:rPr>
          <w:rFonts w:ascii="Arial" w:hAnsi="Arial" w:cs="Arial"/>
          <w:sz w:val="22"/>
          <w:lang w:val="en-US"/>
        </w:rPr>
        <w:t xml:space="preserve">) the reduction of idle assets; (ii) less interference with geography and the environment; and, consequently, (iii) lower socio-environmental impact. </w:t>
      </w:r>
    </w:p>
    <w:p w14:paraId="737A8AC4" w14:textId="77777777" w:rsidR="00AE5FDB" w:rsidRPr="002309F1" w:rsidRDefault="00AE5FDB" w:rsidP="00AE5FDB">
      <w:pPr>
        <w:pStyle w:val="MDPI31text"/>
        <w:tabs>
          <w:tab w:val="left" w:pos="8080"/>
        </w:tabs>
        <w:spacing w:after="240" w:line="240" w:lineRule="auto"/>
        <w:ind w:firstLine="0"/>
        <w:rPr>
          <w:rFonts w:ascii="Arial" w:hAnsi="Arial" w:cs="Arial"/>
          <w:color w:val="auto"/>
          <w:sz w:val="22"/>
          <w:szCs w:val="24"/>
        </w:rPr>
      </w:pPr>
    </w:p>
    <w:p w14:paraId="73FF5713" w14:textId="25BC5B28" w:rsidR="006234B0" w:rsidRPr="002309F1" w:rsidRDefault="006234B0" w:rsidP="006234B0">
      <w:pPr>
        <w:pStyle w:val="MDPI31text"/>
        <w:tabs>
          <w:tab w:val="left" w:pos="8080"/>
        </w:tabs>
        <w:spacing w:line="240" w:lineRule="auto"/>
        <w:ind w:firstLine="0"/>
        <w:rPr>
          <w:rFonts w:ascii="Arial" w:hAnsi="Arial" w:cs="Arial"/>
          <w:b/>
          <w:color w:val="auto"/>
          <w:sz w:val="22"/>
          <w:szCs w:val="24"/>
        </w:rPr>
      </w:pPr>
      <w:r w:rsidRPr="002309F1">
        <w:rPr>
          <w:rFonts w:ascii="Arial" w:hAnsi="Arial" w:cs="Arial"/>
          <w:b/>
          <w:color w:val="auto"/>
          <w:sz w:val="22"/>
          <w:szCs w:val="24"/>
        </w:rPr>
        <w:t>QUANTITATIVE ANALYSIS</w:t>
      </w:r>
    </w:p>
    <w:p w14:paraId="6A009848" w14:textId="06C2832C" w:rsidR="00AE5FDB" w:rsidRPr="002309F1" w:rsidRDefault="000F0678" w:rsidP="00D6624A">
      <w:pPr>
        <w:pStyle w:val="MDPI31text"/>
        <w:tabs>
          <w:tab w:val="left" w:pos="8080"/>
        </w:tabs>
        <w:spacing w:after="240" w:line="240" w:lineRule="auto"/>
        <w:ind w:firstLine="0"/>
        <w:rPr>
          <w:rFonts w:ascii="Arial" w:hAnsi="Arial" w:cs="Arial"/>
          <w:snapToGrid/>
          <w:color w:val="auto"/>
          <w:sz w:val="22"/>
          <w:szCs w:val="24"/>
          <w:lang w:eastAsia="es-ES" w:bidi="ar-SA"/>
        </w:rPr>
      </w:pPr>
      <w:r w:rsidRPr="002309F1">
        <w:rPr>
          <w:rFonts w:ascii="Arial" w:hAnsi="Arial" w:cs="Arial"/>
          <w:color w:val="auto"/>
          <w:sz w:val="22"/>
          <w:szCs w:val="24"/>
        </w:rPr>
        <w:t xml:space="preserve">We created a new hybrid index called socio-environmental-energy security (SEES), whose main objective was to analyze the evolution of Mercosur energy policies in the past (1990-2010). </w:t>
      </w:r>
      <w:r w:rsidR="00AE5FDB" w:rsidRPr="002309F1">
        <w:rPr>
          <w:rFonts w:ascii="Arial" w:hAnsi="Arial" w:cs="Arial"/>
          <w:color w:val="auto"/>
          <w:sz w:val="22"/>
          <w:szCs w:val="24"/>
        </w:rPr>
        <w:t>Considering the evolution of the SEES index for the period under analysis, it falls 8.9%. This suggests that the absence of joint planning and policies among Mercosur countries did not contribute to the improvement of the index, gi</w:t>
      </w:r>
      <w:r w:rsidR="006234B0" w:rsidRPr="002309F1">
        <w:rPr>
          <w:rFonts w:ascii="Arial" w:hAnsi="Arial" w:cs="Arial"/>
          <w:color w:val="auto"/>
          <w:sz w:val="22"/>
          <w:szCs w:val="24"/>
        </w:rPr>
        <w:t>ven the selected indicators. It</w:t>
      </w:r>
      <w:r w:rsidR="00AE5FDB" w:rsidRPr="002309F1">
        <w:rPr>
          <w:rFonts w:ascii="Arial" w:hAnsi="Arial" w:cs="Arial"/>
          <w:color w:val="auto"/>
          <w:sz w:val="22"/>
          <w:szCs w:val="24"/>
        </w:rPr>
        <w:t xml:space="preserve"> is expected that the SEES index guides policy recommendations based on an indicator-based approach. By doing so, we can ensure a more holistic, </w:t>
      </w:r>
      <w:proofErr w:type="spellStart"/>
      <w:r w:rsidR="00AE5FDB" w:rsidRPr="002309F1">
        <w:rPr>
          <w:rFonts w:ascii="Arial" w:hAnsi="Arial" w:cs="Arial"/>
          <w:color w:val="auto"/>
          <w:sz w:val="22"/>
          <w:szCs w:val="24"/>
        </w:rPr>
        <w:t>intersectoral</w:t>
      </w:r>
      <w:proofErr w:type="spellEnd"/>
      <w:r w:rsidR="00AE5FDB" w:rsidRPr="002309F1">
        <w:rPr>
          <w:rFonts w:ascii="Arial" w:hAnsi="Arial" w:cs="Arial"/>
          <w:color w:val="auto"/>
          <w:sz w:val="22"/>
          <w:szCs w:val="24"/>
        </w:rPr>
        <w:t xml:space="preserve"> and appropriate approach to the subject.</w:t>
      </w:r>
      <w:r w:rsidR="00AE5FDB" w:rsidRPr="002309F1">
        <w:rPr>
          <w:rFonts w:ascii="Arial" w:hAnsi="Arial" w:cs="Arial"/>
          <w:color w:val="auto"/>
          <w:sz w:val="18"/>
        </w:rPr>
        <w:t xml:space="preserve"> </w:t>
      </w:r>
      <w:r w:rsidR="00AE5FDB" w:rsidRPr="002309F1">
        <w:rPr>
          <w:rFonts w:ascii="Arial" w:hAnsi="Arial" w:cs="Arial"/>
          <w:color w:val="auto"/>
          <w:sz w:val="22"/>
          <w:szCs w:val="24"/>
        </w:rPr>
        <w:t xml:space="preserve">Thus, we established that the SEES index is completely in line with sustainable development and climate change </w:t>
      </w:r>
      <w:r w:rsidR="00AE5FDB" w:rsidRPr="002309F1">
        <w:rPr>
          <w:rFonts w:ascii="Arial" w:hAnsi="Arial" w:cs="Arial"/>
          <w:snapToGrid/>
          <w:color w:val="auto"/>
          <w:sz w:val="22"/>
          <w:szCs w:val="24"/>
          <w:lang w:eastAsia="es-ES" w:bidi="ar-SA"/>
        </w:rPr>
        <w:t>considering a regional logic.</w:t>
      </w:r>
    </w:p>
    <w:p w14:paraId="1117A7C8" w14:textId="560A3DB8" w:rsidR="00D6624A" w:rsidRPr="002309F1" w:rsidRDefault="00AE5FDB" w:rsidP="00D6624A">
      <w:pPr>
        <w:tabs>
          <w:tab w:val="left" w:pos="8080"/>
        </w:tabs>
        <w:jc w:val="both"/>
        <w:rPr>
          <w:rFonts w:ascii="Arial" w:hAnsi="Arial" w:cs="Arial"/>
          <w:sz w:val="22"/>
          <w:lang w:val="en-US"/>
        </w:rPr>
      </w:pPr>
      <w:r w:rsidRPr="002309F1">
        <w:rPr>
          <w:rFonts w:ascii="Arial" w:hAnsi="Arial" w:cs="Arial"/>
          <w:sz w:val="22"/>
          <w:lang w:val="en-US"/>
        </w:rPr>
        <w:t xml:space="preserve">After evaluating the policies of the past until the present, </w:t>
      </w:r>
      <w:r w:rsidR="00D6624A" w:rsidRPr="002309F1">
        <w:rPr>
          <w:rFonts w:ascii="Arial" w:hAnsi="Arial" w:cs="Arial"/>
          <w:sz w:val="22"/>
          <w:lang w:val="en-US"/>
        </w:rPr>
        <w:t>we propose energy scenarios using the Open Source Energy Modelling System – South America Model Base (OSeMOSYS-SAMBA), a model of planning for the expansion of long-term energy systems, whose objective is to analyze present and possible integration scenarios in the future (2015-2050). There are four different energy scenarios: reference integration scenario (RIS), weak integration scenario (WIS), moderate integration scenario (MIS) and strong integration scenario (SIS). They consider expansion and new international interconnection lines, new binational hydroelectric plants, new contractual arrangements (swaps) as well as regulatory harmonization.</w:t>
      </w:r>
    </w:p>
    <w:p w14:paraId="28164995" w14:textId="77777777" w:rsidR="00D6624A" w:rsidRPr="002309F1" w:rsidRDefault="00D6624A" w:rsidP="00D6624A">
      <w:pPr>
        <w:tabs>
          <w:tab w:val="left" w:pos="8080"/>
        </w:tabs>
        <w:jc w:val="both"/>
        <w:rPr>
          <w:rFonts w:ascii="Arial" w:hAnsi="Arial" w:cs="Arial"/>
          <w:sz w:val="22"/>
          <w:lang w:val="en-US"/>
        </w:rPr>
      </w:pPr>
    </w:p>
    <w:p w14:paraId="05581F17" w14:textId="77777777" w:rsidR="0077768B" w:rsidRPr="002309F1" w:rsidRDefault="0077768B" w:rsidP="00D6624A">
      <w:pPr>
        <w:tabs>
          <w:tab w:val="left" w:pos="8080"/>
        </w:tabs>
        <w:jc w:val="both"/>
        <w:rPr>
          <w:rFonts w:ascii="Arial" w:hAnsi="Arial" w:cs="Arial"/>
          <w:sz w:val="22"/>
          <w:lang w:val="en-US"/>
        </w:rPr>
        <w:sectPr w:rsidR="0077768B" w:rsidRPr="002309F1" w:rsidSect="00891089">
          <w:type w:val="continuous"/>
          <w:pgSz w:w="11906" w:h="16838" w:code="9"/>
          <w:pgMar w:top="510" w:right="1134" w:bottom="709" w:left="1418" w:header="709" w:footer="709" w:gutter="0"/>
          <w:cols w:num="2" w:space="708"/>
          <w:docGrid w:linePitch="360"/>
        </w:sectPr>
      </w:pPr>
    </w:p>
    <w:p w14:paraId="189A4117" w14:textId="350C4F8C" w:rsidR="0077768B" w:rsidRPr="002309F1" w:rsidRDefault="0077768B" w:rsidP="0077768B">
      <w:pPr>
        <w:pStyle w:val="Recuodecorpodetexto"/>
        <w:tabs>
          <w:tab w:val="left" w:pos="8080"/>
        </w:tabs>
        <w:spacing w:after="200"/>
        <w:ind w:left="0"/>
        <w:jc w:val="center"/>
        <w:rPr>
          <w:sz w:val="22"/>
          <w:lang w:val="en-US"/>
        </w:rPr>
      </w:pPr>
      <w:bookmarkStart w:id="0" w:name="_Toc508884516"/>
      <w:r w:rsidRPr="002309F1">
        <w:rPr>
          <w:b/>
          <w:sz w:val="22"/>
          <w:lang w:val="en-US"/>
        </w:rPr>
        <w:t>Table 1</w:t>
      </w:r>
      <w:r w:rsidRPr="002309F1">
        <w:rPr>
          <w:sz w:val="22"/>
          <w:lang w:val="en-US"/>
        </w:rPr>
        <w:t>. OSeMOSYS-SAMBA integration scenarios general data</w:t>
      </w:r>
      <w:bookmarkEnd w:id="0"/>
    </w:p>
    <w:tbl>
      <w:tblPr>
        <w:tblStyle w:val="Tabelacomgrade"/>
        <w:tblW w:w="9493" w:type="dxa"/>
        <w:jc w:val="center"/>
        <w:tblLook w:val="04A0" w:firstRow="1" w:lastRow="0" w:firstColumn="1" w:lastColumn="0" w:noHBand="0" w:noVBand="1"/>
      </w:tblPr>
      <w:tblGrid>
        <w:gridCol w:w="961"/>
        <w:gridCol w:w="1019"/>
        <w:gridCol w:w="7513"/>
      </w:tblGrid>
      <w:tr w:rsidR="0077768B" w:rsidRPr="002309F1" w14:paraId="7FF33217" w14:textId="77777777" w:rsidTr="0059384C">
        <w:trPr>
          <w:jc w:val="center"/>
        </w:trPr>
        <w:tc>
          <w:tcPr>
            <w:tcW w:w="961" w:type="dxa"/>
            <w:vAlign w:val="center"/>
          </w:tcPr>
          <w:p w14:paraId="70BFD4BD" w14:textId="77777777" w:rsidR="0077768B" w:rsidRPr="002309F1" w:rsidRDefault="0077768B" w:rsidP="0059384C">
            <w:pPr>
              <w:pStyle w:val="Recuodecorpodetexto"/>
              <w:tabs>
                <w:tab w:val="left" w:pos="8080"/>
              </w:tabs>
              <w:spacing w:after="0"/>
              <w:ind w:left="0"/>
              <w:jc w:val="center"/>
              <w:rPr>
                <w:b/>
                <w:sz w:val="20"/>
                <w:lang w:val="en-US"/>
              </w:rPr>
            </w:pPr>
            <w:r w:rsidRPr="002309F1">
              <w:rPr>
                <w:b/>
                <w:sz w:val="20"/>
                <w:lang w:val="en-US"/>
              </w:rPr>
              <w:t>Scenario</w:t>
            </w:r>
          </w:p>
        </w:tc>
        <w:tc>
          <w:tcPr>
            <w:tcW w:w="1019" w:type="dxa"/>
            <w:vAlign w:val="center"/>
          </w:tcPr>
          <w:p w14:paraId="0A513825" w14:textId="77777777" w:rsidR="0077768B" w:rsidRPr="002309F1" w:rsidRDefault="0077768B" w:rsidP="0059384C">
            <w:pPr>
              <w:pStyle w:val="Recuodecorpodetexto"/>
              <w:tabs>
                <w:tab w:val="left" w:pos="8080"/>
              </w:tabs>
              <w:spacing w:after="0"/>
              <w:ind w:left="0"/>
              <w:jc w:val="center"/>
              <w:rPr>
                <w:b/>
                <w:sz w:val="20"/>
                <w:lang w:val="en-US"/>
              </w:rPr>
            </w:pPr>
            <w:r w:rsidRPr="002309F1">
              <w:rPr>
                <w:b/>
                <w:sz w:val="20"/>
                <w:lang w:val="en-US"/>
              </w:rPr>
              <w:t>Focus</w:t>
            </w:r>
          </w:p>
        </w:tc>
        <w:tc>
          <w:tcPr>
            <w:tcW w:w="7513" w:type="dxa"/>
            <w:vAlign w:val="center"/>
          </w:tcPr>
          <w:p w14:paraId="68E3A30E" w14:textId="77777777" w:rsidR="0077768B" w:rsidRPr="002309F1" w:rsidRDefault="0077768B" w:rsidP="0059384C">
            <w:pPr>
              <w:pStyle w:val="Recuodecorpodetexto"/>
              <w:tabs>
                <w:tab w:val="left" w:pos="8080"/>
              </w:tabs>
              <w:spacing w:after="0"/>
              <w:ind w:left="0"/>
              <w:jc w:val="center"/>
              <w:rPr>
                <w:sz w:val="20"/>
                <w:lang w:val="en-US"/>
              </w:rPr>
            </w:pPr>
            <w:r w:rsidRPr="002309F1">
              <w:rPr>
                <w:b/>
                <w:bCs/>
                <w:sz w:val="20"/>
                <w:lang w:val="en-US"/>
              </w:rPr>
              <w:t>Measures</w:t>
            </w:r>
          </w:p>
        </w:tc>
      </w:tr>
      <w:tr w:rsidR="0077768B" w:rsidRPr="002309F1" w14:paraId="189A014D" w14:textId="77777777" w:rsidTr="0059384C">
        <w:trPr>
          <w:jc w:val="center"/>
        </w:trPr>
        <w:tc>
          <w:tcPr>
            <w:tcW w:w="961" w:type="dxa"/>
            <w:vAlign w:val="center"/>
          </w:tcPr>
          <w:p w14:paraId="2FD58CAD" w14:textId="77777777" w:rsidR="0077768B" w:rsidRPr="002309F1" w:rsidRDefault="0077768B" w:rsidP="0059384C">
            <w:pPr>
              <w:pStyle w:val="Recuodecorpodetexto"/>
              <w:tabs>
                <w:tab w:val="left" w:pos="8080"/>
              </w:tabs>
              <w:spacing w:after="0"/>
              <w:ind w:left="0"/>
              <w:jc w:val="center"/>
              <w:rPr>
                <w:sz w:val="20"/>
                <w:lang w:val="en-US"/>
              </w:rPr>
            </w:pPr>
            <w:r w:rsidRPr="002309F1">
              <w:rPr>
                <w:sz w:val="20"/>
                <w:lang w:val="en-US"/>
              </w:rPr>
              <w:t>RIS</w:t>
            </w:r>
          </w:p>
        </w:tc>
        <w:tc>
          <w:tcPr>
            <w:tcW w:w="1019" w:type="dxa"/>
            <w:vAlign w:val="center"/>
          </w:tcPr>
          <w:p w14:paraId="2E82871D" w14:textId="77777777" w:rsidR="0077768B" w:rsidRPr="002309F1" w:rsidRDefault="0077768B" w:rsidP="0059384C">
            <w:pPr>
              <w:pStyle w:val="Recuodecorpodetexto"/>
              <w:tabs>
                <w:tab w:val="left" w:pos="8080"/>
              </w:tabs>
              <w:spacing w:after="0"/>
              <w:ind w:left="0"/>
              <w:jc w:val="center"/>
              <w:rPr>
                <w:sz w:val="20"/>
                <w:lang w:val="en-US"/>
              </w:rPr>
            </w:pPr>
            <w:r w:rsidRPr="002309F1">
              <w:rPr>
                <w:sz w:val="20"/>
                <w:lang w:val="en-US"/>
              </w:rPr>
              <w:t>National</w:t>
            </w:r>
          </w:p>
        </w:tc>
        <w:tc>
          <w:tcPr>
            <w:tcW w:w="7513" w:type="dxa"/>
            <w:vAlign w:val="center"/>
          </w:tcPr>
          <w:p w14:paraId="60863B33" w14:textId="77777777" w:rsidR="0077768B" w:rsidRPr="002309F1" w:rsidRDefault="0077768B" w:rsidP="0059384C">
            <w:pPr>
              <w:pStyle w:val="Recuodecorpodetexto"/>
              <w:tabs>
                <w:tab w:val="left" w:pos="8080"/>
              </w:tabs>
              <w:spacing w:after="0"/>
              <w:ind w:left="0"/>
              <w:rPr>
                <w:sz w:val="20"/>
                <w:lang w:val="en-US"/>
              </w:rPr>
            </w:pPr>
            <w:r w:rsidRPr="002309F1">
              <w:rPr>
                <w:sz w:val="20"/>
                <w:lang w:val="en-US"/>
              </w:rPr>
              <w:t>BAU</w:t>
            </w:r>
          </w:p>
        </w:tc>
      </w:tr>
      <w:tr w:rsidR="0077768B" w:rsidRPr="002309F1" w14:paraId="325FB298" w14:textId="77777777" w:rsidTr="0059384C">
        <w:trPr>
          <w:jc w:val="center"/>
        </w:trPr>
        <w:tc>
          <w:tcPr>
            <w:tcW w:w="961" w:type="dxa"/>
            <w:vAlign w:val="center"/>
          </w:tcPr>
          <w:p w14:paraId="67309E6B" w14:textId="77777777" w:rsidR="0077768B" w:rsidRPr="002309F1" w:rsidRDefault="0077768B" w:rsidP="0059384C">
            <w:pPr>
              <w:pStyle w:val="Recuodecorpodetexto"/>
              <w:tabs>
                <w:tab w:val="left" w:pos="8080"/>
              </w:tabs>
              <w:spacing w:after="0"/>
              <w:ind w:left="0"/>
              <w:jc w:val="center"/>
              <w:rPr>
                <w:sz w:val="20"/>
                <w:lang w:val="en-US"/>
              </w:rPr>
            </w:pPr>
            <w:r w:rsidRPr="002309F1">
              <w:rPr>
                <w:sz w:val="20"/>
                <w:lang w:val="en-US"/>
              </w:rPr>
              <w:t>WIS</w:t>
            </w:r>
          </w:p>
        </w:tc>
        <w:tc>
          <w:tcPr>
            <w:tcW w:w="1019" w:type="dxa"/>
            <w:vAlign w:val="center"/>
          </w:tcPr>
          <w:p w14:paraId="4F3A5898" w14:textId="77777777" w:rsidR="0077768B" w:rsidRPr="002309F1" w:rsidRDefault="0077768B" w:rsidP="0059384C">
            <w:pPr>
              <w:pStyle w:val="Recuodecorpodetexto"/>
              <w:tabs>
                <w:tab w:val="left" w:pos="8080"/>
              </w:tabs>
              <w:spacing w:after="0"/>
              <w:ind w:left="0"/>
              <w:jc w:val="center"/>
              <w:rPr>
                <w:sz w:val="20"/>
                <w:lang w:val="en-US"/>
              </w:rPr>
            </w:pPr>
            <w:r w:rsidRPr="002309F1">
              <w:rPr>
                <w:sz w:val="20"/>
                <w:lang w:val="en-US"/>
              </w:rPr>
              <w:t>National</w:t>
            </w:r>
          </w:p>
        </w:tc>
        <w:tc>
          <w:tcPr>
            <w:tcW w:w="7513" w:type="dxa"/>
            <w:vAlign w:val="center"/>
          </w:tcPr>
          <w:p w14:paraId="0C65A460" w14:textId="77777777" w:rsidR="0077768B" w:rsidRPr="002309F1" w:rsidRDefault="0077768B" w:rsidP="0059384C">
            <w:pPr>
              <w:pStyle w:val="Recuodecorpodetexto"/>
              <w:tabs>
                <w:tab w:val="left" w:pos="8080"/>
              </w:tabs>
              <w:spacing w:after="0"/>
              <w:ind w:left="0"/>
              <w:rPr>
                <w:sz w:val="20"/>
                <w:lang w:val="en-US"/>
              </w:rPr>
            </w:pPr>
            <w:r w:rsidRPr="002309F1">
              <w:rPr>
                <w:sz w:val="20"/>
                <w:lang w:val="en-US"/>
              </w:rPr>
              <w:t>Reduction of HPP expansion + reduced cost of second generation biogas + distributed PV (Br)</w:t>
            </w:r>
          </w:p>
        </w:tc>
      </w:tr>
      <w:tr w:rsidR="0077768B" w:rsidRPr="002309F1" w14:paraId="7F5522C3" w14:textId="77777777" w:rsidTr="0059384C">
        <w:trPr>
          <w:jc w:val="center"/>
        </w:trPr>
        <w:tc>
          <w:tcPr>
            <w:tcW w:w="961" w:type="dxa"/>
            <w:vMerge w:val="restart"/>
            <w:vAlign w:val="center"/>
          </w:tcPr>
          <w:p w14:paraId="1C534225" w14:textId="77777777" w:rsidR="0077768B" w:rsidRPr="002309F1" w:rsidRDefault="0077768B" w:rsidP="0059384C">
            <w:pPr>
              <w:pStyle w:val="Recuodecorpodetexto"/>
              <w:tabs>
                <w:tab w:val="left" w:pos="8080"/>
              </w:tabs>
              <w:spacing w:after="0"/>
              <w:ind w:left="0"/>
              <w:jc w:val="center"/>
              <w:rPr>
                <w:sz w:val="20"/>
                <w:lang w:val="en-US"/>
              </w:rPr>
            </w:pPr>
            <w:r w:rsidRPr="002309F1">
              <w:rPr>
                <w:sz w:val="20"/>
                <w:lang w:val="en-US"/>
              </w:rPr>
              <w:t>MIS</w:t>
            </w:r>
          </w:p>
        </w:tc>
        <w:tc>
          <w:tcPr>
            <w:tcW w:w="1019" w:type="dxa"/>
            <w:vMerge w:val="restart"/>
            <w:vAlign w:val="center"/>
          </w:tcPr>
          <w:p w14:paraId="411D3F83" w14:textId="77777777" w:rsidR="0077768B" w:rsidRPr="002309F1" w:rsidRDefault="0077768B" w:rsidP="0059384C">
            <w:pPr>
              <w:pStyle w:val="Recuodecorpodetexto"/>
              <w:tabs>
                <w:tab w:val="left" w:pos="8080"/>
              </w:tabs>
              <w:spacing w:after="0"/>
              <w:ind w:left="0"/>
              <w:jc w:val="center"/>
              <w:rPr>
                <w:sz w:val="20"/>
                <w:lang w:val="en-US"/>
              </w:rPr>
            </w:pPr>
            <w:r w:rsidRPr="002309F1">
              <w:rPr>
                <w:sz w:val="20"/>
                <w:lang w:val="en-US"/>
              </w:rPr>
              <w:t>Southern Cone</w:t>
            </w:r>
          </w:p>
        </w:tc>
        <w:tc>
          <w:tcPr>
            <w:tcW w:w="7513" w:type="dxa"/>
            <w:vAlign w:val="center"/>
          </w:tcPr>
          <w:p w14:paraId="1A1A55AA" w14:textId="77777777" w:rsidR="0077768B" w:rsidRPr="002309F1" w:rsidRDefault="0077768B" w:rsidP="0059384C">
            <w:pPr>
              <w:pStyle w:val="Recuodecorpodetexto"/>
              <w:tabs>
                <w:tab w:val="left" w:pos="8080"/>
              </w:tabs>
              <w:spacing w:after="0"/>
              <w:ind w:left="0"/>
              <w:rPr>
                <w:sz w:val="20"/>
                <w:lang w:val="en-US"/>
              </w:rPr>
            </w:pPr>
            <w:proofErr w:type="spellStart"/>
            <w:r w:rsidRPr="002309F1">
              <w:rPr>
                <w:sz w:val="20"/>
                <w:lang w:val="en-US"/>
              </w:rPr>
              <w:t>Ar</w:t>
            </w:r>
            <w:proofErr w:type="spellEnd"/>
            <w:r w:rsidRPr="002309F1">
              <w:rPr>
                <w:sz w:val="20"/>
                <w:lang w:val="en-US"/>
              </w:rPr>
              <w:t>-Br: Garabí (1,152 MW) + Panambí (1,048 MW)</w:t>
            </w:r>
          </w:p>
        </w:tc>
      </w:tr>
      <w:tr w:rsidR="0077768B" w:rsidRPr="002309F1" w14:paraId="6B25A32C" w14:textId="77777777" w:rsidTr="0059384C">
        <w:trPr>
          <w:jc w:val="center"/>
        </w:trPr>
        <w:tc>
          <w:tcPr>
            <w:tcW w:w="961" w:type="dxa"/>
            <w:vMerge/>
            <w:vAlign w:val="center"/>
          </w:tcPr>
          <w:p w14:paraId="0023820A" w14:textId="77777777" w:rsidR="0077768B" w:rsidRPr="002309F1" w:rsidRDefault="0077768B" w:rsidP="0059384C">
            <w:pPr>
              <w:pStyle w:val="Recuodecorpodetexto"/>
              <w:tabs>
                <w:tab w:val="left" w:pos="8080"/>
              </w:tabs>
              <w:spacing w:after="0"/>
              <w:ind w:left="0"/>
              <w:jc w:val="center"/>
              <w:rPr>
                <w:sz w:val="20"/>
                <w:lang w:val="en-US"/>
              </w:rPr>
            </w:pPr>
          </w:p>
        </w:tc>
        <w:tc>
          <w:tcPr>
            <w:tcW w:w="1019" w:type="dxa"/>
            <w:vMerge/>
            <w:vAlign w:val="center"/>
          </w:tcPr>
          <w:p w14:paraId="6D405C06" w14:textId="77777777" w:rsidR="0077768B" w:rsidRPr="002309F1" w:rsidRDefault="0077768B" w:rsidP="0059384C">
            <w:pPr>
              <w:pStyle w:val="Recuodecorpodetexto"/>
              <w:tabs>
                <w:tab w:val="left" w:pos="8080"/>
              </w:tabs>
              <w:spacing w:after="0"/>
              <w:ind w:left="0"/>
              <w:jc w:val="center"/>
              <w:rPr>
                <w:sz w:val="20"/>
                <w:lang w:val="en-US"/>
              </w:rPr>
            </w:pPr>
          </w:p>
        </w:tc>
        <w:tc>
          <w:tcPr>
            <w:tcW w:w="7513" w:type="dxa"/>
            <w:vAlign w:val="center"/>
          </w:tcPr>
          <w:p w14:paraId="59173A55" w14:textId="77777777" w:rsidR="0077768B" w:rsidRPr="002309F1" w:rsidRDefault="0077768B" w:rsidP="0059384C">
            <w:pPr>
              <w:pStyle w:val="Recuodecorpodetexto"/>
              <w:tabs>
                <w:tab w:val="left" w:pos="8080"/>
              </w:tabs>
              <w:spacing w:after="0"/>
              <w:ind w:left="0"/>
              <w:rPr>
                <w:sz w:val="20"/>
                <w:lang w:val="en-US"/>
              </w:rPr>
            </w:pPr>
            <w:proofErr w:type="spellStart"/>
            <w:r w:rsidRPr="002309F1">
              <w:rPr>
                <w:sz w:val="20"/>
                <w:lang w:val="en-US"/>
              </w:rPr>
              <w:t>Ar-Py</w:t>
            </w:r>
            <w:proofErr w:type="spellEnd"/>
            <w:r w:rsidRPr="002309F1">
              <w:rPr>
                <w:sz w:val="20"/>
                <w:lang w:val="en-US"/>
              </w:rPr>
              <w:t xml:space="preserve">: </w:t>
            </w:r>
            <w:proofErr w:type="spellStart"/>
            <w:r w:rsidRPr="002309F1">
              <w:rPr>
                <w:sz w:val="20"/>
                <w:lang w:val="en-US"/>
              </w:rPr>
              <w:t>Aña</w:t>
            </w:r>
            <w:proofErr w:type="spellEnd"/>
            <w:r w:rsidRPr="002309F1">
              <w:rPr>
                <w:sz w:val="20"/>
                <w:lang w:val="en-US"/>
              </w:rPr>
              <w:t xml:space="preserve"> </w:t>
            </w:r>
            <w:proofErr w:type="spellStart"/>
            <w:r w:rsidRPr="002309F1">
              <w:rPr>
                <w:sz w:val="20"/>
                <w:lang w:val="en-US"/>
              </w:rPr>
              <w:t>Cuá</w:t>
            </w:r>
            <w:proofErr w:type="spellEnd"/>
            <w:r w:rsidRPr="002309F1">
              <w:rPr>
                <w:sz w:val="20"/>
                <w:lang w:val="en-US"/>
              </w:rPr>
              <w:t xml:space="preserve"> (2,000 MW) + 1st and 2nd </w:t>
            </w:r>
            <w:proofErr w:type="spellStart"/>
            <w:r w:rsidRPr="002309F1">
              <w:rPr>
                <w:sz w:val="20"/>
                <w:lang w:val="en-US"/>
              </w:rPr>
              <w:t>Yacyretá</w:t>
            </w:r>
            <w:proofErr w:type="spellEnd"/>
            <w:r w:rsidRPr="002309F1">
              <w:rPr>
                <w:sz w:val="20"/>
                <w:lang w:val="en-US"/>
              </w:rPr>
              <w:t xml:space="preserve"> expansion (1,550 MW) + </w:t>
            </w:r>
            <w:proofErr w:type="spellStart"/>
            <w:r w:rsidRPr="002309F1">
              <w:rPr>
                <w:sz w:val="20"/>
                <w:lang w:val="en-US"/>
              </w:rPr>
              <w:t>Itacorá-Itatí</w:t>
            </w:r>
            <w:proofErr w:type="spellEnd"/>
            <w:r w:rsidRPr="002309F1">
              <w:rPr>
                <w:sz w:val="20"/>
                <w:lang w:val="en-US"/>
              </w:rPr>
              <w:t xml:space="preserve"> (1,660 MW) + Corpus (3,500 MW)</w:t>
            </w:r>
          </w:p>
        </w:tc>
      </w:tr>
      <w:tr w:rsidR="0077768B" w:rsidRPr="002309F1" w14:paraId="0976D39D" w14:textId="77777777" w:rsidTr="0059384C">
        <w:trPr>
          <w:jc w:val="center"/>
        </w:trPr>
        <w:tc>
          <w:tcPr>
            <w:tcW w:w="961" w:type="dxa"/>
            <w:vMerge/>
            <w:vAlign w:val="center"/>
          </w:tcPr>
          <w:p w14:paraId="1DF1B617" w14:textId="77777777" w:rsidR="0077768B" w:rsidRPr="002309F1" w:rsidRDefault="0077768B" w:rsidP="0059384C">
            <w:pPr>
              <w:pStyle w:val="Recuodecorpodetexto"/>
              <w:tabs>
                <w:tab w:val="left" w:pos="8080"/>
              </w:tabs>
              <w:spacing w:after="0"/>
              <w:ind w:left="0"/>
              <w:jc w:val="center"/>
              <w:rPr>
                <w:sz w:val="20"/>
                <w:lang w:val="en-US"/>
              </w:rPr>
            </w:pPr>
          </w:p>
        </w:tc>
        <w:tc>
          <w:tcPr>
            <w:tcW w:w="1019" w:type="dxa"/>
            <w:vMerge/>
            <w:vAlign w:val="center"/>
          </w:tcPr>
          <w:p w14:paraId="5CE3416F" w14:textId="77777777" w:rsidR="0077768B" w:rsidRPr="002309F1" w:rsidRDefault="0077768B" w:rsidP="0059384C">
            <w:pPr>
              <w:pStyle w:val="Recuodecorpodetexto"/>
              <w:tabs>
                <w:tab w:val="left" w:pos="8080"/>
              </w:tabs>
              <w:spacing w:after="0"/>
              <w:ind w:left="0"/>
              <w:jc w:val="center"/>
              <w:rPr>
                <w:sz w:val="20"/>
                <w:lang w:val="en-US"/>
              </w:rPr>
            </w:pPr>
          </w:p>
        </w:tc>
        <w:tc>
          <w:tcPr>
            <w:tcW w:w="7513" w:type="dxa"/>
            <w:vAlign w:val="center"/>
          </w:tcPr>
          <w:p w14:paraId="15521831" w14:textId="77777777" w:rsidR="0077768B" w:rsidRPr="002309F1" w:rsidRDefault="0077768B" w:rsidP="0059384C">
            <w:pPr>
              <w:pStyle w:val="Recuodecorpodetexto"/>
              <w:tabs>
                <w:tab w:val="left" w:pos="8080"/>
              </w:tabs>
              <w:spacing w:after="0"/>
              <w:ind w:left="0"/>
              <w:rPr>
                <w:sz w:val="20"/>
                <w:lang w:val="en-US"/>
              </w:rPr>
            </w:pPr>
            <w:r w:rsidRPr="002309F1">
              <w:rPr>
                <w:sz w:val="20"/>
                <w:lang w:val="en-US"/>
              </w:rPr>
              <w:t xml:space="preserve">Bo: El </w:t>
            </w:r>
            <w:proofErr w:type="spellStart"/>
            <w:r w:rsidRPr="002309F1">
              <w:rPr>
                <w:sz w:val="20"/>
                <w:lang w:val="en-US"/>
              </w:rPr>
              <w:t>Bala</w:t>
            </w:r>
            <w:proofErr w:type="spellEnd"/>
            <w:r w:rsidRPr="002309F1">
              <w:rPr>
                <w:sz w:val="20"/>
                <w:lang w:val="en-US"/>
              </w:rPr>
              <w:t xml:space="preserve"> 1 e 2 (3,676 MW) + </w:t>
            </w:r>
            <w:proofErr w:type="spellStart"/>
            <w:r w:rsidRPr="002309F1">
              <w:rPr>
                <w:sz w:val="20"/>
                <w:lang w:val="en-US"/>
              </w:rPr>
              <w:t>Rositas</w:t>
            </w:r>
            <w:proofErr w:type="spellEnd"/>
            <w:r w:rsidRPr="002309F1">
              <w:rPr>
                <w:sz w:val="20"/>
                <w:lang w:val="en-US"/>
              </w:rPr>
              <w:t xml:space="preserve"> (400 MW)</w:t>
            </w:r>
          </w:p>
        </w:tc>
      </w:tr>
      <w:tr w:rsidR="0077768B" w:rsidRPr="002309F1" w14:paraId="7C32B340" w14:textId="77777777" w:rsidTr="0059384C">
        <w:trPr>
          <w:jc w:val="center"/>
        </w:trPr>
        <w:tc>
          <w:tcPr>
            <w:tcW w:w="961" w:type="dxa"/>
            <w:vMerge/>
            <w:vAlign w:val="center"/>
          </w:tcPr>
          <w:p w14:paraId="2EA0F046" w14:textId="77777777" w:rsidR="0077768B" w:rsidRPr="002309F1" w:rsidRDefault="0077768B" w:rsidP="0059384C">
            <w:pPr>
              <w:pStyle w:val="Recuodecorpodetexto"/>
              <w:tabs>
                <w:tab w:val="left" w:pos="8080"/>
              </w:tabs>
              <w:spacing w:after="0"/>
              <w:ind w:left="0"/>
              <w:jc w:val="center"/>
              <w:rPr>
                <w:sz w:val="20"/>
                <w:lang w:val="en-US"/>
              </w:rPr>
            </w:pPr>
          </w:p>
        </w:tc>
        <w:tc>
          <w:tcPr>
            <w:tcW w:w="1019" w:type="dxa"/>
            <w:vMerge/>
            <w:vAlign w:val="center"/>
          </w:tcPr>
          <w:p w14:paraId="6F2E76C8" w14:textId="77777777" w:rsidR="0077768B" w:rsidRPr="002309F1" w:rsidRDefault="0077768B" w:rsidP="0059384C">
            <w:pPr>
              <w:pStyle w:val="Recuodecorpodetexto"/>
              <w:tabs>
                <w:tab w:val="left" w:pos="8080"/>
              </w:tabs>
              <w:spacing w:after="0"/>
              <w:ind w:left="0"/>
              <w:jc w:val="center"/>
              <w:rPr>
                <w:sz w:val="20"/>
                <w:lang w:val="en-US"/>
              </w:rPr>
            </w:pPr>
          </w:p>
        </w:tc>
        <w:tc>
          <w:tcPr>
            <w:tcW w:w="7513" w:type="dxa"/>
            <w:vAlign w:val="center"/>
          </w:tcPr>
          <w:p w14:paraId="648FD030" w14:textId="77777777" w:rsidR="0077768B" w:rsidRPr="002309F1" w:rsidRDefault="0077768B" w:rsidP="0059384C">
            <w:pPr>
              <w:pStyle w:val="Recuodecorpodetexto"/>
              <w:tabs>
                <w:tab w:val="left" w:pos="8080"/>
              </w:tabs>
              <w:spacing w:after="0"/>
              <w:ind w:left="0"/>
              <w:rPr>
                <w:sz w:val="20"/>
                <w:lang w:val="en-US"/>
              </w:rPr>
            </w:pPr>
            <w:r w:rsidRPr="002309F1">
              <w:rPr>
                <w:sz w:val="20"/>
                <w:lang w:val="en-US"/>
              </w:rPr>
              <w:t>Bo-</w:t>
            </w:r>
            <w:proofErr w:type="spellStart"/>
            <w:r w:rsidRPr="002309F1">
              <w:rPr>
                <w:sz w:val="20"/>
                <w:lang w:val="en-US"/>
              </w:rPr>
              <w:t>Ar</w:t>
            </w:r>
            <w:proofErr w:type="spellEnd"/>
            <w:r w:rsidRPr="002309F1">
              <w:rPr>
                <w:sz w:val="20"/>
                <w:lang w:val="en-US"/>
              </w:rPr>
              <w:t xml:space="preserve">: TL </w:t>
            </w:r>
            <w:proofErr w:type="spellStart"/>
            <w:r w:rsidRPr="002309F1">
              <w:rPr>
                <w:sz w:val="20"/>
                <w:lang w:val="en-US"/>
              </w:rPr>
              <w:t>Yaguacua</w:t>
            </w:r>
            <w:proofErr w:type="spellEnd"/>
            <w:r w:rsidRPr="002309F1">
              <w:rPr>
                <w:sz w:val="20"/>
                <w:lang w:val="en-US"/>
              </w:rPr>
              <w:t xml:space="preserve"> - </w:t>
            </w:r>
            <w:proofErr w:type="spellStart"/>
            <w:r w:rsidRPr="002309F1">
              <w:rPr>
                <w:sz w:val="20"/>
                <w:lang w:val="en-US"/>
              </w:rPr>
              <w:t>Pichanal</w:t>
            </w:r>
            <w:proofErr w:type="spellEnd"/>
            <w:r w:rsidRPr="002309F1">
              <w:rPr>
                <w:sz w:val="20"/>
                <w:lang w:val="en-US"/>
              </w:rPr>
              <w:t xml:space="preserve"> - San </w:t>
            </w:r>
            <w:proofErr w:type="spellStart"/>
            <w:r w:rsidRPr="002309F1">
              <w:rPr>
                <w:sz w:val="20"/>
                <w:lang w:val="en-US"/>
              </w:rPr>
              <w:t>Juancito</w:t>
            </w:r>
            <w:proofErr w:type="spellEnd"/>
            <w:r w:rsidRPr="002309F1">
              <w:rPr>
                <w:sz w:val="20"/>
                <w:lang w:val="en-US"/>
              </w:rPr>
              <w:t xml:space="preserve"> (1,200 MW)</w:t>
            </w:r>
          </w:p>
        </w:tc>
      </w:tr>
      <w:tr w:rsidR="0077768B" w:rsidRPr="002309F1" w14:paraId="3C18AE86" w14:textId="77777777" w:rsidTr="0059384C">
        <w:trPr>
          <w:jc w:val="center"/>
        </w:trPr>
        <w:tc>
          <w:tcPr>
            <w:tcW w:w="961" w:type="dxa"/>
            <w:vMerge/>
            <w:vAlign w:val="center"/>
          </w:tcPr>
          <w:p w14:paraId="40139B15" w14:textId="77777777" w:rsidR="0077768B" w:rsidRPr="002309F1" w:rsidRDefault="0077768B" w:rsidP="0059384C">
            <w:pPr>
              <w:pStyle w:val="Recuodecorpodetexto"/>
              <w:tabs>
                <w:tab w:val="left" w:pos="8080"/>
              </w:tabs>
              <w:spacing w:after="0"/>
              <w:ind w:left="0"/>
              <w:jc w:val="center"/>
              <w:rPr>
                <w:sz w:val="20"/>
                <w:lang w:val="en-US"/>
              </w:rPr>
            </w:pPr>
          </w:p>
        </w:tc>
        <w:tc>
          <w:tcPr>
            <w:tcW w:w="1019" w:type="dxa"/>
            <w:vMerge/>
            <w:vAlign w:val="center"/>
          </w:tcPr>
          <w:p w14:paraId="4B313FC8" w14:textId="77777777" w:rsidR="0077768B" w:rsidRPr="002309F1" w:rsidRDefault="0077768B" w:rsidP="0059384C">
            <w:pPr>
              <w:pStyle w:val="Recuodecorpodetexto"/>
              <w:tabs>
                <w:tab w:val="left" w:pos="8080"/>
              </w:tabs>
              <w:spacing w:after="0"/>
              <w:ind w:left="0"/>
              <w:jc w:val="center"/>
              <w:rPr>
                <w:sz w:val="20"/>
                <w:lang w:val="en-US"/>
              </w:rPr>
            </w:pPr>
          </w:p>
        </w:tc>
        <w:tc>
          <w:tcPr>
            <w:tcW w:w="7513" w:type="dxa"/>
            <w:vAlign w:val="center"/>
          </w:tcPr>
          <w:p w14:paraId="3B68BC9D" w14:textId="77777777" w:rsidR="0077768B" w:rsidRPr="002309F1" w:rsidRDefault="0077768B" w:rsidP="0059384C">
            <w:pPr>
              <w:pStyle w:val="Recuodecorpodetexto"/>
              <w:tabs>
                <w:tab w:val="left" w:pos="8080"/>
              </w:tabs>
              <w:spacing w:after="0"/>
              <w:ind w:left="0"/>
              <w:rPr>
                <w:sz w:val="20"/>
                <w:lang w:val="en-US"/>
              </w:rPr>
            </w:pPr>
            <w:r w:rsidRPr="002309F1">
              <w:rPr>
                <w:sz w:val="20"/>
                <w:lang w:val="en-US"/>
              </w:rPr>
              <w:t>Bo-</w:t>
            </w:r>
            <w:proofErr w:type="spellStart"/>
            <w:r w:rsidRPr="002309F1">
              <w:rPr>
                <w:sz w:val="20"/>
                <w:lang w:val="en-US"/>
              </w:rPr>
              <w:t>Pe</w:t>
            </w:r>
            <w:proofErr w:type="spellEnd"/>
            <w:r w:rsidRPr="002309F1">
              <w:rPr>
                <w:sz w:val="20"/>
                <w:lang w:val="en-US"/>
              </w:rPr>
              <w:t>: 2 TLs (1,150 MW)</w:t>
            </w:r>
          </w:p>
        </w:tc>
      </w:tr>
      <w:tr w:rsidR="0077768B" w:rsidRPr="002309F1" w14:paraId="3BDA13B1" w14:textId="77777777" w:rsidTr="0059384C">
        <w:trPr>
          <w:jc w:val="center"/>
        </w:trPr>
        <w:tc>
          <w:tcPr>
            <w:tcW w:w="961" w:type="dxa"/>
            <w:vMerge/>
            <w:vAlign w:val="center"/>
          </w:tcPr>
          <w:p w14:paraId="19EC1C34" w14:textId="77777777" w:rsidR="0077768B" w:rsidRPr="002309F1" w:rsidRDefault="0077768B" w:rsidP="0059384C">
            <w:pPr>
              <w:pStyle w:val="Recuodecorpodetexto"/>
              <w:tabs>
                <w:tab w:val="left" w:pos="8080"/>
              </w:tabs>
              <w:spacing w:after="0"/>
              <w:ind w:left="0"/>
              <w:jc w:val="center"/>
              <w:rPr>
                <w:sz w:val="20"/>
                <w:lang w:val="en-US"/>
              </w:rPr>
            </w:pPr>
          </w:p>
        </w:tc>
        <w:tc>
          <w:tcPr>
            <w:tcW w:w="1019" w:type="dxa"/>
            <w:vMerge/>
            <w:vAlign w:val="center"/>
          </w:tcPr>
          <w:p w14:paraId="1202C259" w14:textId="77777777" w:rsidR="0077768B" w:rsidRPr="002309F1" w:rsidRDefault="0077768B" w:rsidP="0059384C">
            <w:pPr>
              <w:pStyle w:val="Recuodecorpodetexto"/>
              <w:tabs>
                <w:tab w:val="left" w:pos="8080"/>
              </w:tabs>
              <w:spacing w:after="0"/>
              <w:ind w:left="0"/>
              <w:jc w:val="center"/>
              <w:rPr>
                <w:sz w:val="20"/>
                <w:lang w:val="en-US"/>
              </w:rPr>
            </w:pPr>
          </w:p>
        </w:tc>
        <w:tc>
          <w:tcPr>
            <w:tcW w:w="7513" w:type="dxa"/>
            <w:vAlign w:val="center"/>
          </w:tcPr>
          <w:p w14:paraId="0EE68070" w14:textId="77777777" w:rsidR="0077768B" w:rsidRPr="002309F1" w:rsidRDefault="0077768B" w:rsidP="0059384C">
            <w:pPr>
              <w:pStyle w:val="Recuodecorpodetexto"/>
              <w:tabs>
                <w:tab w:val="left" w:pos="8080"/>
              </w:tabs>
              <w:spacing w:after="0"/>
              <w:ind w:left="0"/>
              <w:rPr>
                <w:sz w:val="20"/>
                <w:lang w:val="en-US"/>
              </w:rPr>
            </w:pPr>
            <w:r w:rsidRPr="002309F1">
              <w:rPr>
                <w:sz w:val="20"/>
                <w:lang w:val="en-US"/>
              </w:rPr>
              <w:t>Bo-Cl: TL (180 MW)</w:t>
            </w:r>
          </w:p>
        </w:tc>
      </w:tr>
      <w:tr w:rsidR="0077768B" w:rsidRPr="002309F1" w14:paraId="5D483D00" w14:textId="77777777" w:rsidTr="0059384C">
        <w:trPr>
          <w:trHeight w:val="149"/>
          <w:jc w:val="center"/>
        </w:trPr>
        <w:tc>
          <w:tcPr>
            <w:tcW w:w="961" w:type="dxa"/>
            <w:vMerge w:val="restart"/>
            <w:vAlign w:val="center"/>
          </w:tcPr>
          <w:p w14:paraId="38324052" w14:textId="77777777" w:rsidR="0077768B" w:rsidRPr="002309F1" w:rsidRDefault="0077768B" w:rsidP="0059384C">
            <w:pPr>
              <w:pStyle w:val="Recuodecorpodetexto"/>
              <w:tabs>
                <w:tab w:val="left" w:pos="8080"/>
              </w:tabs>
              <w:spacing w:after="0"/>
              <w:ind w:left="0"/>
              <w:jc w:val="center"/>
              <w:rPr>
                <w:sz w:val="20"/>
                <w:lang w:val="en-US"/>
              </w:rPr>
            </w:pPr>
            <w:r w:rsidRPr="002309F1">
              <w:rPr>
                <w:sz w:val="20"/>
                <w:lang w:val="en-US"/>
              </w:rPr>
              <w:t>SIS</w:t>
            </w:r>
          </w:p>
        </w:tc>
        <w:tc>
          <w:tcPr>
            <w:tcW w:w="1019" w:type="dxa"/>
            <w:vMerge w:val="restart"/>
            <w:vAlign w:val="center"/>
          </w:tcPr>
          <w:p w14:paraId="7ADA6D84" w14:textId="77777777" w:rsidR="0077768B" w:rsidRPr="002309F1" w:rsidRDefault="0077768B" w:rsidP="0059384C">
            <w:pPr>
              <w:pStyle w:val="Recuodecorpodetexto"/>
              <w:tabs>
                <w:tab w:val="left" w:pos="8080"/>
              </w:tabs>
              <w:spacing w:after="0"/>
              <w:ind w:left="0"/>
              <w:jc w:val="center"/>
              <w:rPr>
                <w:sz w:val="20"/>
                <w:lang w:val="en-US"/>
              </w:rPr>
            </w:pPr>
            <w:r w:rsidRPr="002309F1">
              <w:rPr>
                <w:sz w:val="20"/>
                <w:lang w:val="en-US"/>
              </w:rPr>
              <w:t>South America</w:t>
            </w:r>
          </w:p>
        </w:tc>
        <w:tc>
          <w:tcPr>
            <w:tcW w:w="7513" w:type="dxa"/>
            <w:vAlign w:val="center"/>
          </w:tcPr>
          <w:p w14:paraId="28A85817" w14:textId="77777777" w:rsidR="0077768B" w:rsidRPr="002309F1" w:rsidRDefault="0077768B" w:rsidP="0059384C">
            <w:pPr>
              <w:pStyle w:val="Recuodecorpodetexto"/>
              <w:tabs>
                <w:tab w:val="left" w:pos="8080"/>
              </w:tabs>
              <w:spacing w:after="0"/>
              <w:ind w:left="0"/>
              <w:rPr>
                <w:sz w:val="20"/>
                <w:lang w:val="en-US"/>
              </w:rPr>
            </w:pPr>
            <w:r w:rsidRPr="002309F1">
              <w:rPr>
                <w:sz w:val="20"/>
                <w:lang w:val="en-US"/>
              </w:rPr>
              <w:t xml:space="preserve">Bo-Br: </w:t>
            </w:r>
            <w:proofErr w:type="spellStart"/>
            <w:r w:rsidRPr="002309F1">
              <w:rPr>
                <w:sz w:val="20"/>
                <w:lang w:val="en-US"/>
              </w:rPr>
              <w:t>Cachuela</w:t>
            </w:r>
            <w:proofErr w:type="spellEnd"/>
            <w:r w:rsidRPr="002309F1">
              <w:rPr>
                <w:sz w:val="20"/>
                <w:lang w:val="en-US"/>
              </w:rPr>
              <w:t xml:space="preserve"> Esperanza (990 MW)</w:t>
            </w:r>
          </w:p>
        </w:tc>
      </w:tr>
      <w:tr w:rsidR="0077768B" w:rsidRPr="002309F1" w14:paraId="2EB35619" w14:textId="77777777" w:rsidTr="0059384C">
        <w:trPr>
          <w:jc w:val="center"/>
        </w:trPr>
        <w:tc>
          <w:tcPr>
            <w:tcW w:w="961" w:type="dxa"/>
            <w:vMerge/>
            <w:vAlign w:val="center"/>
          </w:tcPr>
          <w:p w14:paraId="37591041" w14:textId="77777777" w:rsidR="0077768B" w:rsidRPr="002309F1" w:rsidRDefault="0077768B" w:rsidP="0059384C">
            <w:pPr>
              <w:pStyle w:val="Recuodecorpodetexto"/>
              <w:tabs>
                <w:tab w:val="left" w:pos="8080"/>
              </w:tabs>
              <w:spacing w:after="0"/>
              <w:ind w:left="0"/>
              <w:jc w:val="center"/>
              <w:rPr>
                <w:sz w:val="20"/>
                <w:lang w:val="en-US"/>
              </w:rPr>
            </w:pPr>
          </w:p>
        </w:tc>
        <w:tc>
          <w:tcPr>
            <w:tcW w:w="1019" w:type="dxa"/>
            <w:vMerge/>
            <w:vAlign w:val="center"/>
          </w:tcPr>
          <w:p w14:paraId="6ED14CA0" w14:textId="77777777" w:rsidR="0077768B" w:rsidRPr="002309F1" w:rsidRDefault="0077768B" w:rsidP="0059384C">
            <w:pPr>
              <w:pStyle w:val="Recuodecorpodetexto"/>
              <w:tabs>
                <w:tab w:val="left" w:pos="8080"/>
              </w:tabs>
              <w:spacing w:after="0"/>
              <w:ind w:left="0"/>
              <w:jc w:val="center"/>
              <w:rPr>
                <w:sz w:val="20"/>
                <w:lang w:val="en-US"/>
              </w:rPr>
            </w:pPr>
          </w:p>
        </w:tc>
        <w:tc>
          <w:tcPr>
            <w:tcW w:w="7513" w:type="dxa"/>
            <w:vAlign w:val="center"/>
          </w:tcPr>
          <w:p w14:paraId="6E758D1C" w14:textId="77777777" w:rsidR="0077768B" w:rsidRPr="002309F1" w:rsidRDefault="0077768B" w:rsidP="0059384C">
            <w:pPr>
              <w:pStyle w:val="Recuodecorpodetexto"/>
              <w:tabs>
                <w:tab w:val="left" w:pos="8080"/>
              </w:tabs>
              <w:spacing w:after="0"/>
              <w:ind w:left="0"/>
              <w:rPr>
                <w:sz w:val="20"/>
                <w:lang w:val="en-US"/>
              </w:rPr>
            </w:pPr>
            <w:proofErr w:type="spellStart"/>
            <w:r w:rsidRPr="002309F1">
              <w:rPr>
                <w:sz w:val="20"/>
                <w:lang w:val="en-US"/>
              </w:rPr>
              <w:t>Ar</w:t>
            </w:r>
            <w:proofErr w:type="spellEnd"/>
            <w:r w:rsidRPr="002309F1">
              <w:rPr>
                <w:sz w:val="20"/>
                <w:lang w:val="en-US"/>
              </w:rPr>
              <w:t>-</w:t>
            </w:r>
            <w:proofErr w:type="spellStart"/>
            <w:r w:rsidRPr="002309F1">
              <w:rPr>
                <w:sz w:val="20"/>
                <w:lang w:val="en-US"/>
              </w:rPr>
              <w:t>Py</w:t>
            </w:r>
            <w:proofErr w:type="spellEnd"/>
            <w:r w:rsidRPr="002309F1">
              <w:rPr>
                <w:sz w:val="20"/>
                <w:lang w:val="en-US"/>
              </w:rPr>
              <w:t>-Br: TL (2,000 MW)</w:t>
            </w:r>
          </w:p>
        </w:tc>
      </w:tr>
      <w:tr w:rsidR="0077768B" w:rsidRPr="002309F1" w14:paraId="35DFFB7B" w14:textId="77777777" w:rsidTr="0059384C">
        <w:trPr>
          <w:jc w:val="center"/>
        </w:trPr>
        <w:tc>
          <w:tcPr>
            <w:tcW w:w="961" w:type="dxa"/>
            <w:vMerge/>
            <w:vAlign w:val="center"/>
          </w:tcPr>
          <w:p w14:paraId="30FAB85A" w14:textId="77777777" w:rsidR="0077768B" w:rsidRPr="002309F1" w:rsidRDefault="0077768B" w:rsidP="0059384C">
            <w:pPr>
              <w:pStyle w:val="Recuodecorpodetexto"/>
              <w:tabs>
                <w:tab w:val="left" w:pos="8080"/>
              </w:tabs>
              <w:spacing w:after="0"/>
              <w:ind w:left="0"/>
              <w:jc w:val="center"/>
              <w:rPr>
                <w:sz w:val="20"/>
                <w:lang w:val="en-US"/>
              </w:rPr>
            </w:pPr>
          </w:p>
        </w:tc>
        <w:tc>
          <w:tcPr>
            <w:tcW w:w="1019" w:type="dxa"/>
            <w:vMerge/>
            <w:vAlign w:val="center"/>
          </w:tcPr>
          <w:p w14:paraId="1D7F222C" w14:textId="77777777" w:rsidR="0077768B" w:rsidRPr="002309F1" w:rsidRDefault="0077768B" w:rsidP="0059384C">
            <w:pPr>
              <w:pStyle w:val="Recuodecorpodetexto"/>
              <w:tabs>
                <w:tab w:val="left" w:pos="8080"/>
              </w:tabs>
              <w:spacing w:after="0"/>
              <w:ind w:left="0"/>
              <w:jc w:val="center"/>
              <w:rPr>
                <w:sz w:val="20"/>
                <w:lang w:val="en-US"/>
              </w:rPr>
            </w:pPr>
          </w:p>
        </w:tc>
        <w:tc>
          <w:tcPr>
            <w:tcW w:w="7513" w:type="dxa"/>
            <w:vAlign w:val="center"/>
          </w:tcPr>
          <w:p w14:paraId="314EC4C8" w14:textId="77777777" w:rsidR="0077768B" w:rsidRPr="002309F1" w:rsidRDefault="0077768B" w:rsidP="0059384C">
            <w:pPr>
              <w:pStyle w:val="Recuodecorpodetexto"/>
              <w:tabs>
                <w:tab w:val="left" w:pos="8080"/>
              </w:tabs>
              <w:spacing w:after="0"/>
              <w:ind w:left="0"/>
              <w:rPr>
                <w:sz w:val="20"/>
                <w:lang w:val="en-US"/>
              </w:rPr>
            </w:pPr>
            <w:proofErr w:type="spellStart"/>
            <w:r w:rsidRPr="002309F1">
              <w:rPr>
                <w:sz w:val="20"/>
                <w:lang w:val="en-US"/>
              </w:rPr>
              <w:t>Py</w:t>
            </w:r>
            <w:proofErr w:type="spellEnd"/>
            <w:r w:rsidRPr="002309F1">
              <w:rPr>
                <w:sz w:val="20"/>
                <w:lang w:val="en-US"/>
              </w:rPr>
              <w:t>-</w:t>
            </w:r>
            <w:proofErr w:type="spellStart"/>
            <w:r w:rsidRPr="002309F1">
              <w:rPr>
                <w:sz w:val="20"/>
                <w:lang w:val="en-US"/>
              </w:rPr>
              <w:t>Ar</w:t>
            </w:r>
            <w:proofErr w:type="spellEnd"/>
            <w:r w:rsidRPr="002309F1">
              <w:rPr>
                <w:sz w:val="20"/>
                <w:lang w:val="en-US"/>
              </w:rPr>
              <w:t>-Cl: ‘Swap’ of energy (200 MW)</w:t>
            </w:r>
          </w:p>
        </w:tc>
      </w:tr>
      <w:tr w:rsidR="0077768B" w:rsidRPr="002309F1" w14:paraId="67E0C9E1" w14:textId="77777777" w:rsidTr="0059384C">
        <w:trPr>
          <w:jc w:val="center"/>
        </w:trPr>
        <w:tc>
          <w:tcPr>
            <w:tcW w:w="961" w:type="dxa"/>
            <w:vMerge/>
            <w:vAlign w:val="center"/>
          </w:tcPr>
          <w:p w14:paraId="6CBF7AD1" w14:textId="77777777" w:rsidR="0077768B" w:rsidRPr="002309F1" w:rsidRDefault="0077768B" w:rsidP="0059384C">
            <w:pPr>
              <w:pStyle w:val="Recuodecorpodetexto"/>
              <w:tabs>
                <w:tab w:val="left" w:pos="8080"/>
              </w:tabs>
              <w:spacing w:after="0"/>
              <w:ind w:left="0"/>
              <w:jc w:val="center"/>
              <w:rPr>
                <w:sz w:val="20"/>
                <w:lang w:val="en-US"/>
              </w:rPr>
            </w:pPr>
          </w:p>
        </w:tc>
        <w:tc>
          <w:tcPr>
            <w:tcW w:w="1019" w:type="dxa"/>
            <w:vMerge/>
            <w:vAlign w:val="center"/>
          </w:tcPr>
          <w:p w14:paraId="08D79BAA" w14:textId="77777777" w:rsidR="0077768B" w:rsidRPr="002309F1" w:rsidRDefault="0077768B" w:rsidP="0059384C">
            <w:pPr>
              <w:pStyle w:val="Recuodecorpodetexto"/>
              <w:tabs>
                <w:tab w:val="left" w:pos="8080"/>
              </w:tabs>
              <w:spacing w:after="0"/>
              <w:ind w:left="0"/>
              <w:jc w:val="center"/>
              <w:rPr>
                <w:sz w:val="20"/>
                <w:lang w:val="en-US"/>
              </w:rPr>
            </w:pPr>
          </w:p>
        </w:tc>
        <w:tc>
          <w:tcPr>
            <w:tcW w:w="7513" w:type="dxa"/>
            <w:vAlign w:val="center"/>
          </w:tcPr>
          <w:p w14:paraId="527B866C" w14:textId="77777777" w:rsidR="0077768B" w:rsidRPr="002309F1" w:rsidRDefault="0077768B" w:rsidP="0059384C">
            <w:pPr>
              <w:pStyle w:val="Recuodecorpodetexto"/>
              <w:tabs>
                <w:tab w:val="left" w:pos="8080"/>
              </w:tabs>
              <w:spacing w:after="0"/>
              <w:ind w:left="0"/>
              <w:rPr>
                <w:sz w:val="20"/>
                <w:lang w:val="en-US"/>
              </w:rPr>
            </w:pPr>
            <w:r w:rsidRPr="002309F1">
              <w:rPr>
                <w:sz w:val="20"/>
                <w:lang w:val="en-US"/>
              </w:rPr>
              <w:t>Co-</w:t>
            </w:r>
            <w:proofErr w:type="spellStart"/>
            <w:r w:rsidRPr="002309F1">
              <w:rPr>
                <w:sz w:val="20"/>
                <w:lang w:val="en-US"/>
              </w:rPr>
              <w:t>Ec</w:t>
            </w:r>
            <w:proofErr w:type="spellEnd"/>
            <w:r w:rsidRPr="002309F1">
              <w:rPr>
                <w:sz w:val="20"/>
                <w:lang w:val="en-US"/>
              </w:rPr>
              <w:t>-</w:t>
            </w:r>
            <w:proofErr w:type="spellStart"/>
            <w:r w:rsidRPr="002309F1">
              <w:rPr>
                <w:sz w:val="20"/>
                <w:lang w:val="en-US"/>
              </w:rPr>
              <w:t>Pe</w:t>
            </w:r>
            <w:proofErr w:type="spellEnd"/>
            <w:r w:rsidRPr="002309F1">
              <w:rPr>
                <w:sz w:val="20"/>
                <w:lang w:val="en-US"/>
              </w:rPr>
              <w:t>-Cl-Bo: SINEA (3,120 MW)</w:t>
            </w:r>
          </w:p>
        </w:tc>
      </w:tr>
    </w:tbl>
    <w:p w14:paraId="35ADA51D" w14:textId="07106278" w:rsidR="0077768B" w:rsidRPr="002309F1" w:rsidRDefault="0077768B" w:rsidP="0077768B">
      <w:pPr>
        <w:pStyle w:val="Recuodecorpodetexto"/>
        <w:tabs>
          <w:tab w:val="left" w:pos="8080"/>
        </w:tabs>
        <w:spacing w:after="200"/>
        <w:ind w:left="0"/>
        <w:jc w:val="center"/>
        <w:rPr>
          <w:sz w:val="18"/>
          <w:lang w:val="en-US"/>
        </w:rPr>
      </w:pPr>
      <w:r w:rsidRPr="002309F1">
        <w:rPr>
          <w:sz w:val="18"/>
          <w:lang w:val="en-US"/>
        </w:rPr>
        <w:t xml:space="preserve">Source: Santos (2018); BAU = business as usual; HPP = hydro power plant; PV = photovoltaics; TL = transmission line; </w:t>
      </w:r>
      <w:proofErr w:type="spellStart"/>
      <w:r w:rsidRPr="002309F1">
        <w:rPr>
          <w:sz w:val="18"/>
          <w:lang w:val="en-US"/>
        </w:rPr>
        <w:t>Ar</w:t>
      </w:r>
      <w:proofErr w:type="spellEnd"/>
      <w:r w:rsidRPr="002309F1">
        <w:rPr>
          <w:sz w:val="18"/>
          <w:lang w:val="en-US"/>
        </w:rPr>
        <w:t xml:space="preserve"> = Argentina; Bo = Bolivia; Br = Brazil; Cl = Chile; Co = Colombia; </w:t>
      </w:r>
      <w:proofErr w:type="spellStart"/>
      <w:r w:rsidRPr="002309F1">
        <w:rPr>
          <w:sz w:val="18"/>
          <w:lang w:val="en-US"/>
        </w:rPr>
        <w:t>Ec</w:t>
      </w:r>
      <w:proofErr w:type="spellEnd"/>
      <w:r w:rsidRPr="002309F1">
        <w:rPr>
          <w:sz w:val="18"/>
          <w:lang w:val="en-US"/>
        </w:rPr>
        <w:t xml:space="preserve"> = Ecuador; </w:t>
      </w:r>
      <w:proofErr w:type="spellStart"/>
      <w:r w:rsidRPr="002309F1">
        <w:rPr>
          <w:sz w:val="18"/>
          <w:lang w:val="en-US"/>
        </w:rPr>
        <w:t>Pe</w:t>
      </w:r>
      <w:proofErr w:type="spellEnd"/>
      <w:r w:rsidRPr="002309F1">
        <w:rPr>
          <w:sz w:val="18"/>
          <w:lang w:val="en-US"/>
        </w:rPr>
        <w:t xml:space="preserve"> = Peru; </w:t>
      </w:r>
      <w:proofErr w:type="spellStart"/>
      <w:r w:rsidRPr="002309F1">
        <w:rPr>
          <w:sz w:val="18"/>
          <w:lang w:val="en-US"/>
        </w:rPr>
        <w:t>Py</w:t>
      </w:r>
      <w:proofErr w:type="spellEnd"/>
      <w:r w:rsidRPr="002309F1">
        <w:rPr>
          <w:sz w:val="18"/>
          <w:lang w:val="en-US"/>
        </w:rPr>
        <w:t xml:space="preserve"> = Paraguay.</w:t>
      </w:r>
    </w:p>
    <w:p w14:paraId="34F52393" w14:textId="77777777" w:rsidR="0077768B" w:rsidRPr="002309F1" w:rsidRDefault="0077768B" w:rsidP="00D6624A">
      <w:pPr>
        <w:tabs>
          <w:tab w:val="left" w:pos="8080"/>
        </w:tabs>
        <w:jc w:val="both"/>
        <w:rPr>
          <w:rFonts w:ascii="Arial" w:hAnsi="Arial" w:cs="Arial"/>
          <w:sz w:val="22"/>
          <w:lang w:val="en-US"/>
        </w:rPr>
      </w:pPr>
    </w:p>
    <w:p w14:paraId="481DA9EA" w14:textId="77777777" w:rsidR="0077768B" w:rsidRPr="002309F1" w:rsidRDefault="0077768B" w:rsidP="00D6624A">
      <w:pPr>
        <w:tabs>
          <w:tab w:val="left" w:pos="8080"/>
        </w:tabs>
        <w:jc w:val="both"/>
        <w:rPr>
          <w:rFonts w:ascii="Arial" w:hAnsi="Arial" w:cs="Arial"/>
          <w:sz w:val="22"/>
          <w:lang w:val="en-US"/>
        </w:rPr>
        <w:sectPr w:rsidR="0077768B" w:rsidRPr="002309F1" w:rsidSect="0077768B">
          <w:type w:val="continuous"/>
          <w:pgSz w:w="11906" w:h="16838" w:code="9"/>
          <w:pgMar w:top="510" w:right="1134" w:bottom="1134" w:left="1418" w:header="709" w:footer="709" w:gutter="0"/>
          <w:cols w:space="708"/>
          <w:docGrid w:linePitch="360"/>
        </w:sectPr>
      </w:pPr>
    </w:p>
    <w:p w14:paraId="33DEE97C" w14:textId="18A38FBE" w:rsidR="00AE5FDB" w:rsidRPr="002309F1" w:rsidRDefault="00D6624A" w:rsidP="00D6624A">
      <w:pPr>
        <w:tabs>
          <w:tab w:val="left" w:pos="8080"/>
        </w:tabs>
        <w:jc w:val="both"/>
        <w:rPr>
          <w:rFonts w:ascii="Arial" w:hAnsi="Arial" w:cs="Arial"/>
          <w:sz w:val="22"/>
          <w:lang w:val="en-US"/>
        </w:rPr>
      </w:pPr>
      <w:r w:rsidRPr="002309F1">
        <w:rPr>
          <w:rFonts w:ascii="Arial" w:hAnsi="Arial" w:cs="Arial"/>
          <w:sz w:val="22"/>
          <w:lang w:val="en-US"/>
        </w:rPr>
        <w:t>T</w:t>
      </w:r>
      <w:r w:rsidR="00AE5FDB" w:rsidRPr="002309F1">
        <w:rPr>
          <w:rFonts w:ascii="Arial" w:hAnsi="Arial" w:cs="Arial"/>
          <w:sz w:val="22"/>
          <w:lang w:val="en-US"/>
        </w:rPr>
        <w:t xml:space="preserve">he OSeMOSYS-SAMBA model was used to simulate scenarios of power sector integration in the region. As in the construction of the SEES index, the challenge was to deal with the lack of data and energy expansion plans in some </w:t>
      </w:r>
      <w:r w:rsidR="00AE5FDB" w:rsidRPr="002309F1">
        <w:rPr>
          <w:rFonts w:ascii="Arial" w:hAnsi="Arial" w:cs="Arial"/>
          <w:sz w:val="22"/>
          <w:lang w:val="en-US"/>
        </w:rPr>
        <w:t xml:space="preserve">countries. Undoubtedly, it will require </w:t>
      </w:r>
      <w:r w:rsidR="00AE5FDB" w:rsidRPr="002309F1">
        <w:rPr>
          <w:rFonts w:ascii="Arial" w:hAnsi="Arial" w:cs="Arial"/>
          <w:i/>
          <w:sz w:val="22"/>
          <w:lang w:val="en-US"/>
        </w:rPr>
        <w:t>political will</w:t>
      </w:r>
      <w:r w:rsidR="00AE5FDB" w:rsidRPr="002309F1">
        <w:rPr>
          <w:rFonts w:ascii="Arial" w:hAnsi="Arial" w:cs="Arial"/>
          <w:sz w:val="22"/>
          <w:lang w:val="en-US"/>
        </w:rPr>
        <w:t xml:space="preserve"> and ‘diplomatic engineering’ to carry out the measures of each scenario in the face of such adverse political-economic context.</w:t>
      </w:r>
    </w:p>
    <w:p w14:paraId="34548A06" w14:textId="77777777" w:rsidR="0077768B" w:rsidRPr="002309F1" w:rsidRDefault="0077768B" w:rsidP="00D6624A">
      <w:pPr>
        <w:tabs>
          <w:tab w:val="left" w:pos="8080"/>
        </w:tabs>
        <w:jc w:val="both"/>
        <w:rPr>
          <w:rFonts w:ascii="Arial" w:hAnsi="Arial" w:cs="Arial"/>
          <w:sz w:val="22"/>
          <w:lang w:val="en-US"/>
        </w:rPr>
      </w:pPr>
    </w:p>
    <w:p w14:paraId="5AD5351C" w14:textId="77777777" w:rsidR="0077768B" w:rsidRPr="002309F1" w:rsidRDefault="0077768B" w:rsidP="00D6624A">
      <w:pPr>
        <w:tabs>
          <w:tab w:val="left" w:pos="8080"/>
        </w:tabs>
        <w:jc w:val="both"/>
        <w:rPr>
          <w:rFonts w:ascii="Arial" w:hAnsi="Arial" w:cs="Arial"/>
          <w:sz w:val="22"/>
          <w:lang w:val="en-US"/>
        </w:rPr>
        <w:sectPr w:rsidR="0077768B" w:rsidRPr="002309F1" w:rsidSect="00834751">
          <w:type w:val="continuous"/>
          <w:pgSz w:w="11906" w:h="16838" w:code="9"/>
          <w:pgMar w:top="510" w:right="1134" w:bottom="1134" w:left="1418" w:header="709" w:footer="709" w:gutter="0"/>
          <w:cols w:num="2" w:space="708"/>
          <w:docGrid w:linePitch="360"/>
        </w:sectPr>
      </w:pPr>
    </w:p>
    <w:p w14:paraId="1C4AD97B" w14:textId="48544D4E" w:rsidR="0077768B" w:rsidRPr="002309F1" w:rsidRDefault="0077768B" w:rsidP="00D6624A">
      <w:pPr>
        <w:tabs>
          <w:tab w:val="left" w:pos="8080"/>
        </w:tabs>
        <w:jc w:val="both"/>
        <w:rPr>
          <w:rFonts w:ascii="Arial" w:hAnsi="Arial" w:cs="Arial"/>
          <w:sz w:val="22"/>
          <w:lang w:val="en-US"/>
        </w:rPr>
      </w:pPr>
      <w:r w:rsidRPr="002309F1">
        <w:rPr>
          <w:rFonts w:ascii="Arial" w:hAnsi="Arial" w:cs="Arial"/>
          <w:noProof/>
          <w:sz w:val="22"/>
          <w:lang w:val="en-US" w:eastAsia="pt-BR"/>
        </w:rPr>
        <w:drawing>
          <wp:anchor distT="0" distB="0" distL="114300" distR="114300" simplePos="0" relativeHeight="251682304" behindDoc="0" locked="0" layoutInCell="1" allowOverlap="1" wp14:anchorId="3BA5961A" wp14:editId="6CE6C049">
            <wp:simplePos x="0" y="0"/>
            <wp:positionH relativeFrom="column">
              <wp:posOffset>-433705</wp:posOffset>
            </wp:positionH>
            <wp:positionV relativeFrom="paragraph">
              <wp:posOffset>259715</wp:posOffset>
            </wp:positionV>
            <wp:extent cx="6781800" cy="3820160"/>
            <wp:effectExtent l="0" t="0" r="0" b="889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81800" cy="3820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75EE58" w14:textId="77777777" w:rsidR="0077768B" w:rsidRPr="002309F1" w:rsidRDefault="0077768B" w:rsidP="0077768B">
      <w:pPr>
        <w:tabs>
          <w:tab w:val="left" w:pos="8080"/>
        </w:tabs>
        <w:jc w:val="center"/>
        <w:rPr>
          <w:rFonts w:ascii="Arial" w:hAnsi="Arial" w:cs="Arial"/>
          <w:sz w:val="18"/>
          <w:lang w:val="en-US"/>
        </w:rPr>
      </w:pPr>
    </w:p>
    <w:p w14:paraId="24491643" w14:textId="057D3A9B" w:rsidR="0077768B" w:rsidRPr="002309F1" w:rsidRDefault="0077768B" w:rsidP="0077768B">
      <w:pPr>
        <w:tabs>
          <w:tab w:val="left" w:pos="8080"/>
        </w:tabs>
        <w:jc w:val="center"/>
        <w:rPr>
          <w:rFonts w:ascii="Arial" w:hAnsi="Arial" w:cs="Arial"/>
          <w:sz w:val="18"/>
          <w:lang w:val="en-US"/>
        </w:rPr>
      </w:pPr>
      <w:r w:rsidRPr="002309F1">
        <w:rPr>
          <w:rFonts w:ascii="Arial" w:hAnsi="Arial" w:cs="Arial"/>
          <w:sz w:val="18"/>
          <w:lang w:val="en-US"/>
        </w:rPr>
        <w:t>Source: Santos (2018); the figures present the graphical evolution for each alternative scenarios (WIS, MIS and SIS) relative to RIS; thus, each curve indicates the difference of the values of the scenarios analyzed against RIS.</w:t>
      </w:r>
    </w:p>
    <w:p w14:paraId="7DCECF19" w14:textId="763A5C6F" w:rsidR="0077768B" w:rsidRPr="002309F1" w:rsidRDefault="0077768B" w:rsidP="00D6624A">
      <w:pPr>
        <w:tabs>
          <w:tab w:val="left" w:pos="8080"/>
        </w:tabs>
        <w:jc w:val="both"/>
        <w:rPr>
          <w:rFonts w:ascii="Arial" w:hAnsi="Arial" w:cs="Arial"/>
          <w:sz w:val="22"/>
          <w:lang w:val="en-US"/>
        </w:rPr>
      </w:pPr>
    </w:p>
    <w:p w14:paraId="3CBC3BB1" w14:textId="77777777" w:rsidR="0077768B" w:rsidRPr="002309F1" w:rsidRDefault="0077768B" w:rsidP="00D6624A">
      <w:pPr>
        <w:tabs>
          <w:tab w:val="left" w:pos="8080"/>
        </w:tabs>
        <w:jc w:val="both"/>
        <w:rPr>
          <w:rFonts w:ascii="Arial" w:hAnsi="Arial" w:cs="Arial"/>
          <w:sz w:val="22"/>
          <w:lang w:val="en-US"/>
        </w:rPr>
        <w:sectPr w:rsidR="0077768B" w:rsidRPr="002309F1" w:rsidSect="0077768B">
          <w:type w:val="continuous"/>
          <w:pgSz w:w="11906" w:h="16838" w:code="9"/>
          <w:pgMar w:top="510" w:right="1134" w:bottom="1134" w:left="1418" w:header="709" w:footer="709" w:gutter="0"/>
          <w:cols w:space="708"/>
          <w:docGrid w:linePitch="360"/>
        </w:sectPr>
      </w:pPr>
    </w:p>
    <w:p w14:paraId="09B00009" w14:textId="77777777" w:rsidR="00AE5FDB" w:rsidRPr="002309F1" w:rsidRDefault="00AE5FDB" w:rsidP="00AE5FDB">
      <w:pPr>
        <w:tabs>
          <w:tab w:val="left" w:pos="8080"/>
        </w:tabs>
        <w:jc w:val="both"/>
        <w:rPr>
          <w:rFonts w:ascii="Arial" w:hAnsi="Arial" w:cs="Arial"/>
          <w:sz w:val="22"/>
          <w:lang w:val="en-US"/>
        </w:rPr>
      </w:pPr>
      <w:r w:rsidRPr="002309F1">
        <w:rPr>
          <w:rFonts w:ascii="Arial" w:hAnsi="Arial" w:cs="Arial"/>
          <w:sz w:val="22"/>
          <w:lang w:val="en-US"/>
        </w:rPr>
        <w:t>The modeling exercise ratified the argument that greater electricity integration in Mercosur (and in South America as a whole) leads to a reduction in the need to increase installed capacity, as well as to lower geographic and socio-environmental impacts.</w:t>
      </w:r>
    </w:p>
    <w:p w14:paraId="1E10E85F" w14:textId="77777777" w:rsidR="00AE5FDB" w:rsidRPr="002309F1" w:rsidRDefault="00AE5FDB" w:rsidP="00AE5FDB">
      <w:pPr>
        <w:tabs>
          <w:tab w:val="left" w:pos="8080"/>
        </w:tabs>
        <w:jc w:val="both"/>
        <w:rPr>
          <w:rFonts w:ascii="Arial" w:hAnsi="Arial" w:cs="Arial"/>
          <w:sz w:val="22"/>
          <w:lang w:val="en-US"/>
        </w:rPr>
      </w:pPr>
    </w:p>
    <w:p w14:paraId="3FFDFF69" w14:textId="77777777" w:rsidR="00AE5FDB" w:rsidRPr="002309F1" w:rsidRDefault="00AE5FDB" w:rsidP="00AE5FDB">
      <w:pPr>
        <w:tabs>
          <w:tab w:val="left" w:pos="8080"/>
        </w:tabs>
        <w:jc w:val="both"/>
        <w:rPr>
          <w:rFonts w:ascii="Arial" w:hAnsi="Arial" w:cs="Arial"/>
          <w:sz w:val="22"/>
          <w:lang w:val="en-US"/>
        </w:rPr>
      </w:pPr>
      <w:r w:rsidRPr="002309F1">
        <w:rPr>
          <w:rFonts w:ascii="Arial" w:hAnsi="Arial" w:cs="Arial"/>
          <w:sz w:val="22"/>
          <w:lang w:val="en-US"/>
        </w:rPr>
        <w:t>As seen, oil and natural gas play little role in modeled regional energy integration. Oil is an international commodity, so it is difficult to provide regional contractual arrangements based on oil, either for priority sales or supply guarantee, when it is a type of energy whose price is defined internationally. With regard to natural gas, investment in physical pipeline infrastructure requires large amounts of capital, as well as specific, dedicated assets, having a sunk cost nature; like oil, LNG facilitates access to natural gas without necessarily needing pipeline networks. Both reasons do justify the relative loss of Venezuela’s role in regional energy integration.</w:t>
      </w:r>
    </w:p>
    <w:p w14:paraId="58143676" w14:textId="5F421059" w:rsidR="0077768B" w:rsidRPr="002309F1" w:rsidRDefault="0077768B" w:rsidP="00AE5FDB">
      <w:pPr>
        <w:tabs>
          <w:tab w:val="left" w:pos="8080"/>
        </w:tabs>
        <w:jc w:val="both"/>
        <w:rPr>
          <w:rFonts w:ascii="Arial" w:hAnsi="Arial" w:cs="Arial"/>
          <w:b/>
          <w:sz w:val="22"/>
          <w:shd w:val="clear" w:color="auto" w:fill="FFFFFF"/>
          <w:lang w:val="en-US"/>
        </w:rPr>
      </w:pPr>
      <w:r w:rsidRPr="002309F1">
        <w:rPr>
          <w:rFonts w:ascii="Arial" w:hAnsi="Arial" w:cs="Arial"/>
          <w:b/>
          <w:sz w:val="22"/>
          <w:shd w:val="clear" w:color="auto" w:fill="FFFFFF"/>
          <w:lang w:val="en-US"/>
        </w:rPr>
        <w:t>CURRENT CHALLENGES</w:t>
      </w:r>
    </w:p>
    <w:p w14:paraId="0E3C2415" w14:textId="77777777" w:rsidR="00AE5FDB" w:rsidRPr="002309F1" w:rsidRDefault="00AE5FDB" w:rsidP="00AE5FDB">
      <w:pPr>
        <w:tabs>
          <w:tab w:val="left" w:pos="8080"/>
        </w:tabs>
        <w:jc w:val="both"/>
        <w:rPr>
          <w:rFonts w:ascii="Arial" w:hAnsi="Arial" w:cs="Arial"/>
          <w:sz w:val="22"/>
          <w:shd w:val="clear" w:color="auto" w:fill="FFFFFF"/>
          <w:lang w:val="en-US"/>
        </w:rPr>
      </w:pPr>
      <w:r w:rsidRPr="002309F1">
        <w:rPr>
          <w:rFonts w:ascii="Arial" w:hAnsi="Arial" w:cs="Arial"/>
          <w:sz w:val="22"/>
          <w:shd w:val="clear" w:color="auto" w:fill="FFFFFF"/>
          <w:lang w:val="en-US"/>
        </w:rPr>
        <w:t xml:space="preserve">As a general challenge, the current context in which the Mercosur countries find themselves is characterized by stagnation and economic recession. </w:t>
      </w:r>
    </w:p>
    <w:p w14:paraId="24035F90" w14:textId="77777777" w:rsidR="00AE5FDB" w:rsidRPr="002309F1" w:rsidRDefault="00AE5FDB" w:rsidP="00AE5FDB">
      <w:pPr>
        <w:tabs>
          <w:tab w:val="left" w:pos="8080"/>
        </w:tabs>
        <w:jc w:val="both"/>
        <w:rPr>
          <w:rFonts w:ascii="Arial" w:hAnsi="Arial" w:cs="Arial"/>
          <w:sz w:val="22"/>
          <w:shd w:val="clear" w:color="auto" w:fill="FFFFFF"/>
          <w:lang w:val="en-US"/>
        </w:rPr>
      </w:pPr>
    </w:p>
    <w:p w14:paraId="3075EC0F" w14:textId="4CB8E779" w:rsidR="00AE5FDB" w:rsidRPr="002309F1" w:rsidRDefault="00AE5FDB" w:rsidP="00AE5FDB">
      <w:pPr>
        <w:tabs>
          <w:tab w:val="left" w:pos="8080"/>
        </w:tabs>
        <w:jc w:val="both"/>
        <w:rPr>
          <w:rFonts w:ascii="Arial" w:hAnsi="Arial" w:cs="Arial"/>
          <w:sz w:val="22"/>
          <w:lang w:val="en-US"/>
        </w:rPr>
      </w:pPr>
      <w:r w:rsidRPr="002309F1">
        <w:rPr>
          <w:rFonts w:ascii="Arial" w:hAnsi="Arial" w:cs="Arial"/>
          <w:sz w:val="22"/>
          <w:shd w:val="clear" w:color="auto" w:fill="FFFFFF"/>
          <w:lang w:val="en-US"/>
        </w:rPr>
        <w:t xml:space="preserve">For the time being, the political context does not favor large long-term initiatives, since there is no convergence of strategic agendas between Mercosur countries. In addition, there is no short-term energy demand in Brazil that motivates investments in new power generation sources. The focus lies on Brazil, since both </w:t>
      </w:r>
      <w:proofErr w:type="spellStart"/>
      <w:r w:rsidRPr="002309F1">
        <w:rPr>
          <w:rFonts w:ascii="Arial" w:hAnsi="Arial" w:cs="Arial"/>
          <w:sz w:val="22"/>
          <w:shd w:val="clear" w:color="auto" w:fill="FFFFFF"/>
          <w:lang w:val="en-US"/>
        </w:rPr>
        <w:t>Eletrobras</w:t>
      </w:r>
      <w:proofErr w:type="spellEnd"/>
      <w:r w:rsidRPr="002309F1">
        <w:rPr>
          <w:rFonts w:ascii="Arial" w:hAnsi="Arial" w:cs="Arial"/>
          <w:sz w:val="22"/>
          <w:shd w:val="clear" w:color="auto" w:fill="FFFFFF"/>
          <w:lang w:val="en-US"/>
        </w:rPr>
        <w:t xml:space="preserve"> and BNDES have been key players in the elaboration and financing of regional energy projects. However, discussions about the privatization of </w:t>
      </w:r>
      <w:proofErr w:type="spellStart"/>
      <w:r w:rsidRPr="002309F1">
        <w:rPr>
          <w:rFonts w:ascii="Arial" w:hAnsi="Arial" w:cs="Arial"/>
          <w:sz w:val="22"/>
          <w:shd w:val="clear" w:color="auto" w:fill="FFFFFF"/>
          <w:lang w:val="en-US"/>
        </w:rPr>
        <w:t>Eletrobras</w:t>
      </w:r>
      <w:proofErr w:type="spellEnd"/>
      <w:r w:rsidRPr="002309F1">
        <w:rPr>
          <w:rFonts w:ascii="Arial" w:hAnsi="Arial" w:cs="Arial"/>
          <w:sz w:val="22"/>
          <w:shd w:val="clear" w:color="auto" w:fill="FFFFFF"/>
          <w:lang w:val="en-US"/>
        </w:rPr>
        <w:t xml:space="preserve"> is currently advancing and BNDES has recently reduced its disbursements. Once again, the events add uncertainty and insecurity to the scenario of regional energy integration.</w:t>
      </w:r>
    </w:p>
    <w:p w14:paraId="6C94FB53" w14:textId="77777777" w:rsidR="000568CC" w:rsidRPr="002309F1" w:rsidRDefault="000568CC" w:rsidP="00AE5FDB">
      <w:pPr>
        <w:tabs>
          <w:tab w:val="left" w:pos="8080"/>
        </w:tabs>
        <w:jc w:val="both"/>
        <w:rPr>
          <w:rFonts w:ascii="Arial" w:hAnsi="Arial" w:cs="Arial"/>
          <w:sz w:val="22"/>
          <w:lang w:val="en-US"/>
        </w:rPr>
      </w:pPr>
    </w:p>
    <w:p w14:paraId="3A75EF3D" w14:textId="77777777" w:rsidR="00AE5FDB" w:rsidRPr="002309F1" w:rsidRDefault="00AE5FDB" w:rsidP="00AE5FDB">
      <w:pPr>
        <w:tabs>
          <w:tab w:val="left" w:pos="8080"/>
        </w:tabs>
        <w:jc w:val="both"/>
        <w:rPr>
          <w:rFonts w:ascii="Arial" w:hAnsi="Arial" w:cs="Arial"/>
          <w:sz w:val="22"/>
          <w:lang w:val="en-US"/>
        </w:rPr>
      </w:pPr>
      <w:r w:rsidRPr="002309F1">
        <w:rPr>
          <w:rFonts w:ascii="Arial" w:hAnsi="Arial" w:cs="Arial"/>
          <w:sz w:val="22"/>
          <w:lang w:val="en-US"/>
        </w:rPr>
        <w:lastRenderedPageBreak/>
        <w:t>Therefore, we need to take into account new actors and agendas, such as social, environmental, political-diplomatic, public opinion, human rights, local communities and organized civil society, in general, in the definition, implementation and realization of different international interconnection projects, as well as the construction of the new national, binational and/or multilateral plants. Energy, then, must be understood as a factor of socioeconomic development and, therefore, should aim at (</w:t>
      </w:r>
      <w:proofErr w:type="spellStart"/>
      <w:r w:rsidRPr="002309F1">
        <w:rPr>
          <w:rFonts w:ascii="Arial" w:hAnsi="Arial" w:cs="Arial"/>
          <w:sz w:val="22"/>
          <w:lang w:val="en-US"/>
        </w:rPr>
        <w:t>i</w:t>
      </w:r>
      <w:proofErr w:type="spellEnd"/>
      <w:r w:rsidRPr="002309F1">
        <w:rPr>
          <w:rFonts w:ascii="Arial" w:hAnsi="Arial" w:cs="Arial"/>
          <w:sz w:val="22"/>
          <w:lang w:val="en-US"/>
        </w:rPr>
        <w:t xml:space="preserve">) promoting economic growth; (ii) guaranteeing universal access to safe, renewable and cheap energy; and (iii) improving the quality of life, respecting environmental limits. </w:t>
      </w:r>
    </w:p>
    <w:p w14:paraId="36EDBFA3" w14:textId="77777777" w:rsidR="00AE5FDB" w:rsidRPr="002309F1" w:rsidRDefault="00AE5FDB" w:rsidP="00AE5FDB">
      <w:pPr>
        <w:tabs>
          <w:tab w:val="left" w:pos="8080"/>
        </w:tabs>
        <w:jc w:val="both"/>
        <w:rPr>
          <w:rFonts w:ascii="Arial" w:hAnsi="Arial" w:cs="Arial"/>
          <w:sz w:val="22"/>
          <w:lang w:val="en-US"/>
        </w:rPr>
      </w:pPr>
    </w:p>
    <w:p w14:paraId="5967CFF3" w14:textId="77777777" w:rsidR="00AE5FDB" w:rsidRPr="002309F1" w:rsidRDefault="00AE5FDB" w:rsidP="00AE5FDB">
      <w:pPr>
        <w:tabs>
          <w:tab w:val="left" w:pos="8080"/>
        </w:tabs>
        <w:jc w:val="both"/>
        <w:rPr>
          <w:rFonts w:ascii="Arial" w:hAnsi="Arial" w:cs="Arial"/>
          <w:sz w:val="22"/>
          <w:lang w:val="en-US"/>
        </w:rPr>
      </w:pPr>
      <w:r w:rsidRPr="002309F1">
        <w:rPr>
          <w:rFonts w:ascii="Arial" w:hAnsi="Arial" w:cs="Arial"/>
          <w:sz w:val="22"/>
          <w:lang w:val="en-US"/>
        </w:rPr>
        <w:t>In this sense, State plays a key role in conducting this process, so that it does not prioritize particular and/or exclusive objectives of big business owners, political lobbies and contractors. Private sector is also welcome to provide state-of-the-art projects and technologies and reducing financial burden on government budgets, alone or through public-private partnership (PPP).</w:t>
      </w:r>
    </w:p>
    <w:p w14:paraId="59DD8EEE" w14:textId="77777777" w:rsidR="00AE5FDB" w:rsidRPr="002309F1" w:rsidRDefault="00AE5FDB" w:rsidP="00AE5FDB">
      <w:pPr>
        <w:tabs>
          <w:tab w:val="left" w:pos="3221"/>
          <w:tab w:val="left" w:pos="8080"/>
        </w:tabs>
        <w:jc w:val="both"/>
        <w:rPr>
          <w:rFonts w:ascii="Arial" w:hAnsi="Arial" w:cs="Arial"/>
          <w:sz w:val="22"/>
          <w:lang w:val="en-US"/>
        </w:rPr>
      </w:pPr>
    </w:p>
    <w:p w14:paraId="7EA1807B" w14:textId="77777777" w:rsidR="00AE5FDB" w:rsidRPr="002309F1" w:rsidRDefault="00AE5FDB" w:rsidP="00AE5FDB">
      <w:pPr>
        <w:tabs>
          <w:tab w:val="left" w:pos="3221"/>
          <w:tab w:val="left" w:pos="8080"/>
        </w:tabs>
        <w:jc w:val="both"/>
        <w:rPr>
          <w:rFonts w:ascii="Arial" w:hAnsi="Arial" w:cs="Arial"/>
          <w:sz w:val="22"/>
          <w:lang w:val="en-US"/>
        </w:rPr>
      </w:pPr>
      <w:r w:rsidRPr="002309F1">
        <w:rPr>
          <w:rFonts w:ascii="Arial" w:hAnsi="Arial" w:cs="Arial"/>
          <w:sz w:val="22"/>
          <w:lang w:val="en-US"/>
        </w:rPr>
        <w:t xml:space="preserve">Concerning the limitations of the study, it is particularly important to note the difficulty of finding some official national data and the energy modeling itself. One of them concerns the formulation of SEES index, particularly the relative weight of countries and indicators. In order to avoid overweighing one dimension against another, equal weight was given to all indicators in each of the three dimensions. The same happened with the weight of the countries analyzed, despite the existent asymmetry between them. For future work, the relative weight of each indicator/country should be detailed validated on a case-by-case basis. </w:t>
      </w:r>
    </w:p>
    <w:p w14:paraId="23C11B93" w14:textId="77777777" w:rsidR="00AE5FDB" w:rsidRPr="002309F1" w:rsidRDefault="00AE5FDB" w:rsidP="00AE5FDB">
      <w:pPr>
        <w:tabs>
          <w:tab w:val="left" w:pos="3221"/>
          <w:tab w:val="left" w:pos="8080"/>
        </w:tabs>
        <w:jc w:val="both"/>
        <w:rPr>
          <w:rFonts w:ascii="Arial" w:hAnsi="Arial" w:cs="Arial"/>
          <w:sz w:val="22"/>
          <w:lang w:val="en-US"/>
        </w:rPr>
      </w:pPr>
    </w:p>
    <w:p w14:paraId="14CADB68" w14:textId="77777777" w:rsidR="00AE5FDB" w:rsidRPr="002309F1" w:rsidRDefault="00AE5FDB" w:rsidP="00AE5FDB">
      <w:pPr>
        <w:tabs>
          <w:tab w:val="left" w:pos="3221"/>
          <w:tab w:val="left" w:pos="8080"/>
        </w:tabs>
        <w:jc w:val="both"/>
        <w:rPr>
          <w:rFonts w:ascii="Arial" w:hAnsi="Arial" w:cs="Arial"/>
          <w:sz w:val="22"/>
          <w:lang w:val="en-US"/>
        </w:rPr>
      </w:pPr>
      <w:r w:rsidRPr="002309F1">
        <w:rPr>
          <w:rFonts w:ascii="Arial" w:hAnsi="Arial" w:cs="Arial"/>
          <w:sz w:val="22"/>
          <w:lang w:val="en-US"/>
        </w:rPr>
        <w:t>Besides, a future challenge would be to expand the analysis of power sector integration towards other energy sources as oil and natural gas, and to other key demand sectors, as transportation. Although they were not the focus of the current analysis, these points deserve to be discussed in the near future.</w:t>
      </w:r>
    </w:p>
    <w:p w14:paraId="424BAB72" w14:textId="77777777" w:rsidR="00AE5FDB" w:rsidRPr="002309F1" w:rsidRDefault="00AE5FDB" w:rsidP="00AE5FDB">
      <w:pPr>
        <w:tabs>
          <w:tab w:val="left" w:pos="3221"/>
          <w:tab w:val="left" w:pos="8080"/>
        </w:tabs>
        <w:jc w:val="both"/>
        <w:rPr>
          <w:rFonts w:ascii="Arial" w:hAnsi="Arial" w:cs="Arial"/>
          <w:sz w:val="22"/>
          <w:lang w:val="en-US"/>
        </w:rPr>
      </w:pPr>
    </w:p>
    <w:p w14:paraId="454FEDD6" w14:textId="039C38C8" w:rsidR="00AE5FDB" w:rsidRPr="002309F1" w:rsidRDefault="0077768B" w:rsidP="00AE5FDB">
      <w:pPr>
        <w:tabs>
          <w:tab w:val="left" w:pos="3221"/>
          <w:tab w:val="left" w:pos="8080"/>
        </w:tabs>
        <w:jc w:val="both"/>
        <w:rPr>
          <w:rFonts w:ascii="Arial" w:hAnsi="Arial" w:cs="Arial"/>
          <w:sz w:val="22"/>
          <w:lang w:val="en-US"/>
        </w:rPr>
      </w:pPr>
      <w:r w:rsidRPr="002309F1">
        <w:rPr>
          <w:rFonts w:ascii="Arial" w:hAnsi="Arial" w:cs="Arial"/>
          <w:sz w:val="22"/>
          <w:lang w:val="en-US"/>
        </w:rPr>
        <w:t>Another limitation of the</w:t>
      </w:r>
      <w:r w:rsidR="00AE5FDB" w:rsidRPr="002309F1">
        <w:rPr>
          <w:rFonts w:ascii="Arial" w:hAnsi="Arial" w:cs="Arial"/>
          <w:sz w:val="22"/>
          <w:lang w:val="en-US"/>
        </w:rPr>
        <w:t xml:space="preserve"> thesis, particularly regarding the integration scenarios analysis, is their vulnerability to the political-ideological and economic context of the countries of the region. As shown, the regional integration trend has been </w:t>
      </w:r>
      <w:r w:rsidR="00AE5FDB" w:rsidRPr="002309F1">
        <w:rPr>
          <w:rFonts w:ascii="Arial" w:hAnsi="Arial" w:cs="Arial"/>
          <w:sz w:val="22"/>
          <w:lang w:val="en-US"/>
        </w:rPr>
        <w:t>influenced by these issues for decades, which compromises the viability of the results presented.</w:t>
      </w:r>
    </w:p>
    <w:p w14:paraId="6BFD1478" w14:textId="77777777" w:rsidR="00AE5FDB" w:rsidRPr="002309F1" w:rsidRDefault="00AE5FDB" w:rsidP="00AE5FDB">
      <w:pPr>
        <w:tabs>
          <w:tab w:val="left" w:pos="3221"/>
          <w:tab w:val="left" w:pos="8080"/>
        </w:tabs>
        <w:jc w:val="both"/>
        <w:rPr>
          <w:rFonts w:ascii="Arial" w:hAnsi="Arial" w:cs="Arial"/>
          <w:sz w:val="22"/>
          <w:lang w:val="en-US"/>
        </w:rPr>
      </w:pPr>
    </w:p>
    <w:p w14:paraId="26640868" w14:textId="77777777" w:rsidR="00AE5FDB" w:rsidRPr="002309F1" w:rsidRDefault="00AE5FDB" w:rsidP="00AE5FDB">
      <w:pPr>
        <w:tabs>
          <w:tab w:val="left" w:pos="3221"/>
          <w:tab w:val="left" w:pos="8080"/>
        </w:tabs>
        <w:jc w:val="both"/>
        <w:rPr>
          <w:rFonts w:ascii="Arial" w:hAnsi="Arial" w:cs="Arial"/>
          <w:sz w:val="22"/>
          <w:lang w:val="en-US"/>
        </w:rPr>
      </w:pPr>
      <w:r w:rsidRPr="002309F1">
        <w:rPr>
          <w:rFonts w:ascii="Arial" w:hAnsi="Arial" w:cs="Arial"/>
          <w:sz w:val="22"/>
          <w:lang w:val="en-US"/>
        </w:rPr>
        <w:t xml:space="preserve">Due to a series of assumptions, the intertemporal analysis may not consider eventual </w:t>
      </w:r>
      <w:proofErr w:type="spellStart"/>
      <w:r w:rsidRPr="002309F1">
        <w:rPr>
          <w:rFonts w:ascii="Arial" w:hAnsi="Arial" w:cs="Arial"/>
          <w:sz w:val="22"/>
          <w:lang w:val="en-US"/>
        </w:rPr>
        <w:t>conjunctural</w:t>
      </w:r>
      <w:proofErr w:type="spellEnd"/>
      <w:r w:rsidRPr="002309F1">
        <w:rPr>
          <w:rFonts w:ascii="Arial" w:hAnsi="Arial" w:cs="Arial"/>
          <w:sz w:val="22"/>
          <w:lang w:val="en-US"/>
        </w:rPr>
        <w:t xml:space="preserve"> changes in the region. As an example, the possible advance of carbon pricing instruments is not considered (for instance carbon tax, cap-and-trade or hybrid mechanisms), which would favor the generation from less carbon-intensive technologies. It is well known that some countries, such as Brazil, are analyzing implementation via Partnership for Market Readiness (PMR), which will eventually influence future modeling results.</w:t>
      </w:r>
    </w:p>
    <w:p w14:paraId="66A33334" w14:textId="77777777" w:rsidR="00AE5FDB" w:rsidRPr="002309F1" w:rsidRDefault="00AE5FDB" w:rsidP="00AE5FDB">
      <w:pPr>
        <w:tabs>
          <w:tab w:val="left" w:pos="3221"/>
          <w:tab w:val="left" w:pos="8080"/>
        </w:tabs>
        <w:jc w:val="both"/>
        <w:rPr>
          <w:rFonts w:ascii="Arial" w:hAnsi="Arial" w:cs="Arial"/>
          <w:sz w:val="22"/>
          <w:lang w:val="en-US"/>
        </w:rPr>
      </w:pPr>
      <w:r w:rsidRPr="002309F1">
        <w:rPr>
          <w:rFonts w:ascii="Arial" w:hAnsi="Arial" w:cs="Arial"/>
          <w:sz w:val="22"/>
          <w:lang w:val="en-US"/>
        </w:rPr>
        <w:t xml:space="preserve">As recommendations for future work, we suggest updating the SEES index, especially because its results are very sensitive to the lack of data from some of the countries, englobing any of the selected indicators. In addition, it is suggested that it incorporates costs into the social dimension, as well as appropriate weights for each of the indicators considered. </w:t>
      </w:r>
    </w:p>
    <w:p w14:paraId="67073A8D" w14:textId="77777777" w:rsidR="00AE5FDB" w:rsidRPr="002309F1" w:rsidRDefault="00AE5FDB" w:rsidP="00AE5FDB">
      <w:pPr>
        <w:jc w:val="both"/>
        <w:rPr>
          <w:rFonts w:ascii="Arial" w:hAnsi="Arial" w:cs="Arial"/>
          <w:sz w:val="22"/>
          <w:lang w:val="en-US"/>
        </w:rPr>
      </w:pPr>
    </w:p>
    <w:p w14:paraId="0251941D" w14:textId="1DF03F4A" w:rsidR="004244FE" w:rsidRPr="002309F1" w:rsidRDefault="00AE5FDB" w:rsidP="00AE5FDB">
      <w:pPr>
        <w:jc w:val="both"/>
        <w:rPr>
          <w:rFonts w:ascii="Arial" w:hAnsi="Arial" w:cs="Arial"/>
          <w:sz w:val="22"/>
          <w:szCs w:val="22"/>
          <w:lang w:val="en-US"/>
        </w:rPr>
      </w:pPr>
      <w:r w:rsidRPr="002309F1">
        <w:rPr>
          <w:rFonts w:ascii="Arial" w:hAnsi="Arial" w:cs="Arial"/>
          <w:sz w:val="22"/>
          <w:lang w:val="en-US"/>
        </w:rPr>
        <w:t xml:space="preserve">Regarding the scenarios of the OSeMOSYS-SAMBA model, Guyana, French Guiana and Suriname should be also incorporated into the model in order to evaluate potential impacts of </w:t>
      </w:r>
      <w:r w:rsidRPr="002309F1">
        <w:rPr>
          <w:rFonts w:ascii="Arial" w:hAnsi="Arial" w:cs="Arial"/>
          <w:i/>
          <w:sz w:val="22"/>
          <w:lang w:val="en-US"/>
        </w:rPr>
        <w:t>Arco Norte</w:t>
      </w:r>
      <w:r w:rsidRPr="002309F1">
        <w:rPr>
          <w:rFonts w:ascii="Arial" w:hAnsi="Arial" w:cs="Arial"/>
          <w:sz w:val="22"/>
          <w:lang w:val="en-US"/>
        </w:rPr>
        <w:t xml:space="preserve"> project on regional energy integration. Besides, it should incorporate other energy sources such as oil and natural gas, as well as key demand sectors like transportation.</w:t>
      </w:r>
    </w:p>
    <w:p w14:paraId="1D987D29" w14:textId="77777777" w:rsidR="00D83879" w:rsidRPr="002309F1" w:rsidRDefault="00D83879" w:rsidP="0074084D">
      <w:pPr>
        <w:jc w:val="both"/>
        <w:rPr>
          <w:rFonts w:ascii="Arial" w:hAnsi="Arial" w:cs="Arial"/>
          <w:sz w:val="22"/>
          <w:szCs w:val="22"/>
          <w:lang w:val="en-US"/>
        </w:rPr>
      </w:pPr>
    </w:p>
    <w:p w14:paraId="2CD1A478" w14:textId="77777777" w:rsidR="0077768B" w:rsidRPr="002309F1" w:rsidRDefault="0077768B" w:rsidP="0074084D">
      <w:pPr>
        <w:jc w:val="both"/>
        <w:rPr>
          <w:rFonts w:ascii="Arial" w:hAnsi="Arial" w:cs="Arial"/>
          <w:b/>
          <w:sz w:val="22"/>
          <w:szCs w:val="22"/>
          <w:lang w:val="en-US"/>
        </w:rPr>
      </w:pPr>
    </w:p>
    <w:p w14:paraId="7E06561F" w14:textId="5C7E6EF1" w:rsidR="00DA08D0" w:rsidRPr="002309F1" w:rsidRDefault="0077768B" w:rsidP="0077768B">
      <w:pPr>
        <w:jc w:val="both"/>
        <w:rPr>
          <w:rFonts w:ascii="Arial" w:hAnsi="Arial" w:cs="Arial"/>
          <w:b/>
          <w:sz w:val="22"/>
          <w:szCs w:val="22"/>
          <w:lang w:val="en-US"/>
        </w:rPr>
      </w:pPr>
      <w:r w:rsidRPr="002309F1">
        <w:rPr>
          <w:rFonts w:ascii="Arial" w:hAnsi="Arial" w:cs="Arial"/>
          <w:b/>
          <w:sz w:val="22"/>
          <w:szCs w:val="22"/>
          <w:lang w:val="en-US"/>
        </w:rPr>
        <w:t>REFERENCE</w:t>
      </w:r>
    </w:p>
    <w:p w14:paraId="1641627F" w14:textId="4B3FF373" w:rsidR="006A6B43" w:rsidRPr="002309F1" w:rsidRDefault="0077768B" w:rsidP="0074084D">
      <w:pPr>
        <w:jc w:val="both"/>
        <w:rPr>
          <w:rFonts w:ascii="Arial" w:hAnsi="Arial" w:cs="Arial"/>
          <w:sz w:val="22"/>
          <w:szCs w:val="22"/>
          <w:lang w:val="en-US"/>
        </w:rPr>
      </w:pPr>
      <w:r w:rsidRPr="002309F1">
        <w:rPr>
          <w:rFonts w:ascii="Arial" w:hAnsi="Arial" w:cs="Arial"/>
          <w:sz w:val="22"/>
          <w:szCs w:val="22"/>
          <w:lang w:val="en-US"/>
        </w:rPr>
        <w:t xml:space="preserve">Santos, Thauan (2018) </w:t>
      </w:r>
      <w:r w:rsidRPr="002309F1">
        <w:rPr>
          <w:rFonts w:ascii="Arial" w:hAnsi="Arial" w:cs="Arial"/>
          <w:i/>
          <w:sz w:val="22"/>
          <w:szCs w:val="22"/>
          <w:lang w:val="en-US"/>
        </w:rPr>
        <w:t>Regional Energy Security</w:t>
      </w:r>
      <w:r w:rsidRPr="002309F1">
        <w:rPr>
          <w:rFonts w:ascii="Arial" w:hAnsi="Arial" w:cs="Arial"/>
          <w:sz w:val="22"/>
          <w:szCs w:val="22"/>
          <w:lang w:val="en-US"/>
        </w:rPr>
        <w:t>: Re-evaluating concepts and policies to promote energy integration in Mercosur. PhD thesis, PPE/COPPE/UFRJ, Rio de Janeiro, Brazil.</w:t>
      </w:r>
      <w:bookmarkStart w:id="1" w:name="_GoBack"/>
      <w:bookmarkEnd w:id="1"/>
    </w:p>
    <w:sectPr w:rsidR="006A6B43" w:rsidRPr="002309F1" w:rsidSect="00834751">
      <w:type w:val="continuous"/>
      <w:pgSz w:w="11906" w:h="16838" w:code="9"/>
      <w:pgMar w:top="510" w:right="1134" w:bottom="1134" w:left="141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E73"/>
    <w:multiLevelType w:val="multilevel"/>
    <w:tmpl w:val="4BE896A2"/>
    <w:lvl w:ilvl="0">
      <w:start w:val="1"/>
      <w:numFmt w:val="decimal"/>
      <w:pStyle w:val="Seo"/>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pStyle w:val="Sub-subseo"/>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2C3137C"/>
    <w:multiLevelType w:val="singleLevel"/>
    <w:tmpl w:val="0C0A000F"/>
    <w:lvl w:ilvl="0">
      <w:start w:val="1"/>
      <w:numFmt w:val="decimal"/>
      <w:lvlText w:val="%1."/>
      <w:lvlJc w:val="left"/>
      <w:pPr>
        <w:tabs>
          <w:tab w:val="num" w:pos="360"/>
        </w:tabs>
        <w:ind w:left="360" w:hanging="360"/>
      </w:pPr>
    </w:lvl>
  </w:abstractNum>
  <w:abstractNum w:abstractNumId="2" w15:restartNumberingAfterBreak="0">
    <w:nsid w:val="02CE465D"/>
    <w:multiLevelType w:val="hybridMultilevel"/>
    <w:tmpl w:val="42562AC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15:restartNumberingAfterBreak="0">
    <w:nsid w:val="034228FD"/>
    <w:multiLevelType w:val="hybridMultilevel"/>
    <w:tmpl w:val="63F897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3B1695"/>
    <w:multiLevelType w:val="hybridMultilevel"/>
    <w:tmpl w:val="9BD233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C2C2BEE"/>
    <w:multiLevelType w:val="hybridMultilevel"/>
    <w:tmpl w:val="007622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966A15"/>
    <w:multiLevelType w:val="hybridMultilevel"/>
    <w:tmpl w:val="F984EDD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15:restartNumberingAfterBreak="0">
    <w:nsid w:val="1689374B"/>
    <w:multiLevelType w:val="hybridMultilevel"/>
    <w:tmpl w:val="E8A6C60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EF0A43"/>
    <w:multiLevelType w:val="multilevel"/>
    <w:tmpl w:val="A4EA20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9F444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8F3939"/>
    <w:multiLevelType w:val="hybridMultilevel"/>
    <w:tmpl w:val="8D78DC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5135B85"/>
    <w:multiLevelType w:val="hybridMultilevel"/>
    <w:tmpl w:val="9DF8A4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7E7D4C"/>
    <w:multiLevelType w:val="hybridMultilevel"/>
    <w:tmpl w:val="2A4C2F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05E6AB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D6E0A5D"/>
    <w:multiLevelType w:val="singleLevel"/>
    <w:tmpl w:val="6C464922"/>
    <w:lvl w:ilvl="0">
      <w:start w:val="1"/>
      <w:numFmt w:val="decimal"/>
      <w:lvlText w:val="%1."/>
      <w:lvlJc w:val="left"/>
      <w:pPr>
        <w:tabs>
          <w:tab w:val="num" w:pos="480"/>
        </w:tabs>
        <w:ind w:left="480" w:hanging="480"/>
      </w:pPr>
      <w:rPr>
        <w:rFonts w:hint="default"/>
      </w:rPr>
    </w:lvl>
  </w:abstractNum>
  <w:abstractNum w:abstractNumId="15" w15:restartNumberingAfterBreak="0">
    <w:nsid w:val="5E0D5CCD"/>
    <w:multiLevelType w:val="hybridMultilevel"/>
    <w:tmpl w:val="CA7ED56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AB4C3C"/>
    <w:multiLevelType w:val="hybridMultilevel"/>
    <w:tmpl w:val="A4EA208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0449FC"/>
    <w:multiLevelType w:val="hybridMultilevel"/>
    <w:tmpl w:val="8D929910"/>
    <w:lvl w:ilvl="0" w:tplc="9932A57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62536DA"/>
    <w:multiLevelType w:val="hybridMultilevel"/>
    <w:tmpl w:val="EF94A6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77D392B"/>
    <w:multiLevelType w:val="hybridMultilevel"/>
    <w:tmpl w:val="74D230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95E64B1"/>
    <w:multiLevelType w:val="hybridMultilevel"/>
    <w:tmpl w:val="37B0C388"/>
    <w:lvl w:ilvl="0" w:tplc="2C0A0001">
      <w:start w:val="1"/>
      <w:numFmt w:val="bullet"/>
      <w:lvlText w:val=""/>
      <w:lvlJc w:val="left"/>
      <w:pPr>
        <w:ind w:left="720" w:hanging="360"/>
      </w:pPr>
      <w:rPr>
        <w:rFonts w:ascii="Symbol" w:hAnsi="Symbol" w:hint="default"/>
      </w:r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21" w15:restartNumberingAfterBreak="0">
    <w:nsid w:val="7E205D66"/>
    <w:multiLevelType w:val="hybridMultilevel"/>
    <w:tmpl w:val="1E0E43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5"/>
  </w:num>
  <w:num w:numId="4">
    <w:abstractNumId w:val="8"/>
  </w:num>
  <w:num w:numId="5">
    <w:abstractNumId w:val="17"/>
  </w:num>
  <w:num w:numId="6">
    <w:abstractNumId w:val="9"/>
  </w:num>
  <w:num w:numId="7">
    <w:abstractNumId w:val="11"/>
  </w:num>
  <w:num w:numId="8">
    <w:abstractNumId w:val="1"/>
  </w:num>
  <w:num w:numId="9">
    <w:abstractNumId w:val="3"/>
  </w:num>
  <w:num w:numId="10">
    <w:abstractNumId w:val="14"/>
  </w:num>
  <w:num w:numId="11">
    <w:abstractNumId w:val="13"/>
  </w:num>
  <w:num w:numId="12">
    <w:abstractNumId w:val="7"/>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
  </w:num>
  <w:num w:numId="16">
    <w:abstractNumId w:val="6"/>
  </w:num>
  <w:num w:numId="17">
    <w:abstractNumId w:val="4"/>
  </w:num>
  <w:num w:numId="18">
    <w:abstractNumId w:val="21"/>
  </w:num>
  <w:num w:numId="19">
    <w:abstractNumId w:val="10"/>
  </w:num>
  <w:num w:numId="20">
    <w:abstractNumId w:val="19"/>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UY" w:vendorID="64" w:dllVersion="6" w:nlCheck="1" w:checkStyle="1"/>
  <w:activeWritingStyle w:appName="MSWord" w:lang="es-ES" w:vendorID="64" w:dllVersion="0" w:nlCheck="1" w:checkStyle="0"/>
  <w:activeWritingStyle w:appName="MSWord" w:lang="pt-BR" w:vendorID="64" w:dllVersion="0" w:nlCheck="1" w:checkStyle="0"/>
  <w:activeWritingStyle w:appName="MSWord" w:lang="es-UY" w:vendorID="64" w:dllVersion="0" w:nlCheck="1" w:checkStyle="0"/>
  <w:activeWritingStyle w:appName="MSWord" w:lang="es-CO" w:vendorID="64" w:dllVersion="0" w:nlCheck="1" w:checkStyle="0"/>
  <w:activeWritingStyle w:appName="MSWord" w:lang="es-ES" w:vendorID="64" w:dllVersion="131078" w:nlCheck="1" w:checkStyle="1"/>
  <w:activeWritingStyle w:appName="MSWord" w:lang="pt-BR" w:vendorID="64" w:dllVersion="131078" w:nlCheck="1" w:checkStyle="0"/>
  <w:activeWritingStyle w:appName="MSWord" w:lang="it-IT"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33A"/>
    <w:rsid w:val="00005E25"/>
    <w:rsid w:val="000101EA"/>
    <w:rsid w:val="00042AAE"/>
    <w:rsid w:val="000568CC"/>
    <w:rsid w:val="00064CD7"/>
    <w:rsid w:val="000929B7"/>
    <w:rsid w:val="000B333B"/>
    <w:rsid w:val="000C5D1B"/>
    <w:rsid w:val="000F0678"/>
    <w:rsid w:val="00134A17"/>
    <w:rsid w:val="00161A18"/>
    <w:rsid w:val="0016694E"/>
    <w:rsid w:val="001E533A"/>
    <w:rsid w:val="001E7133"/>
    <w:rsid w:val="001F0506"/>
    <w:rsid w:val="001F7CE5"/>
    <w:rsid w:val="002309F1"/>
    <w:rsid w:val="002373A4"/>
    <w:rsid w:val="0027758D"/>
    <w:rsid w:val="002845B0"/>
    <w:rsid w:val="002F1780"/>
    <w:rsid w:val="002F696D"/>
    <w:rsid w:val="00306792"/>
    <w:rsid w:val="0032352E"/>
    <w:rsid w:val="0036050C"/>
    <w:rsid w:val="00384433"/>
    <w:rsid w:val="003D08E8"/>
    <w:rsid w:val="004244FE"/>
    <w:rsid w:val="004514A2"/>
    <w:rsid w:val="0046375A"/>
    <w:rsid w:val="004935DC"/>
    <w:rsid w:val="004D685F"/>
    <w:rsid w:val="005222DF"/>
    <w:rsid w:val="005A1102"/>
    <w:rsid w:val="0061623E"/>
    <w:rsid w:val="006234B0"/>
    <w:rsid w:val="00687CF7"/>
    <w:rsid w:val="00694F4F"/>
    <w:rsid w:val="006A6B43"/>
    <w:rsid w:val="006B25D3"/>
    <w:rsid w:val="006B2E94"/>
    <w:rsid w:val="006F4A3F"/>
    <w:rsid w:val="00735D8A"/>
    <w:rsid w:val="0074084D"/>
    <w:rsid w:val="0074587B"/>
    <w:rsid w:val="00745AA6"/>
    <w:rsid w:val="00753B5E"/>
    <w:rsid w:val="0077768B"/>
    <w:rsid w:val="00790292"/>
    <w:rsid w:val="00813577"/>
    <w:rsid w:val="00834751"/>
    <w:rsid w:val="0086439B"/>
    <w:rsid w:val="00891089"/>
    <w:rsid w:val="008B1F13"/>
    <w:rsid w:val="00911310"/>
    <w:rsid w:val="00914BF7"/>
    <w:rsid w:val="00921453"/>
    <w:rsid w:val="009542C6"/>
    <w:rsid w:val="00961692"/>
    <w:rsid w:val="00A2001F"/>
    <w:rsid w:val="00A36140"/>
    <w:rsid w:val="00A42927"/>
    <w:rsid w:val="00A53028"/>
    <w:rsid w:val="00AA0F66"/>
    <w:rsid w:val="00AE5FDB"/>
    <w:rsid w:val="00AF2F74"/>
    <w:rsid w:val="00B01261"/>
    <w:rsid w:val="00B2799D"/>
    <w:rsid w:val="00B35604"/>
    <w:rsid w:val="00B54A15"/>
    <w:rsid w:val="00B75454"/>
    <w:rsid w:val="00B93F6A"/>
    <w:rsid w:val="00B96CEF"/>
    <w:rsid w:val="00BC7B43"/>
    <w:rsid w:val="00C1606F"/>
    <w:rsid w:val="00C225A5"/>
    <w:rsid w:val="00C54D8A"/>
    <w:rsid w:val="00CB3101"/>
    <w:rsid w:val="00CD556F"/>
    <w:rsid w:val="00CE4FA4"/>
    <w:rsid w:val="00CE51DF"/>
    <w:rsid w:val="00CF4359"/>
    <w:rsid w:val="00D51E3D"/>
    <w:rsid w:val="00D54BF9"/>
    <w:rsid w:val="00D57655"/>
    <w:rsid w:val="00D6624A"/>
    <w:rsid w:val="00D83879"/>
    <w:rsid w:val="00DA08D0"/>
    <w:rsid w:val="00DA4614"/>
    <w:rsid w:val="00DC0FFE"/>
    <w:rsid w:val="00E03C59"/>
    <w:rsid w:val="00E05FE3"/>
    <w:rsid w:val="00E354D8"/>
    <w:rsid w:val="00E845D1"/>
    <w:rsid w:val="00E947A6"/>
    <w:rsid w:val="00F156A1"/>
    <w:rsid w:val="00FD7707"/>
    <w:rsid w:val="00FE6D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B45EC"/>
  <w15:docId w15:val="{3EE7439A-A4CB-4958-89DF-CD4BBF4F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33A"/>
    <w:rPr>
      <w:sz w:val="24"/>
      <w:szCs w:val="24"/>
      <w:lang w:val="es-ES" w:eastAsia="es-ES"/>
    </w:rPr>
  </w:style>
  <w:style w:type="paragraph" w:styleId="Ttulo3">
    <w:name w:val="heading 3"/>
    <w:basedOn w:val="Normal"/>
    <w:next w:val="Normal"/>
    <w:qFormat/>
    <w:rsid w:val="00B01261"/>
    <w:pPr>
      <w:keepNext/>
      <w:ind w:firstLine="708"/>
      <w:outlineLvl w:val="2"/>
    </w:pPr>
    <w:rPr>
      <w:rFonts w:ascii="Arial" w:hAnsi="Arial"/>
      <w:b/>
      <w:sz w:val="22"/>
      <w:szCs w:val="20"/>
    </w:rPr>
  </w:style>
  <w:style w:type="paragraph" w:styleId="Ttulo4">
    <w:name w:val="heading 4"/>
    <w:basedOn w:val="Normal"/>
    <w:next w:val="Normal"/>
    <w:qFormat/>
    <w:rsid w:val="00B01261"/>
    <w:pPr>
      <w:keepNext/>
      <w:outlineLvl w:val="3"/>
    </w:pPr>
    <w:rPr>
      <w:rFonts w:ascii="Arial"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1E5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rsid w:val="00D57655"/>
    <w:rPr>
      <w:rFonts w:ascii="Arial" w:hAnsi="Arial"/>
      <w:szCs w:val="20"/>
      <w:lang w:val="es-ES_tradnl"/>
    </w:rPr>
  </w:style>
  <w:style w:type="paragraph" w:styleId="Corpodetexto2">
    <w:name w:val="Body Text 2"/>
    <w:basedOn w:val="Normal"/>
    <w:rsid w:val="00790292"/>
    <w:pPr>
      <w:spacing w:after="120" w:line="480" w:lineRule="auto"/>
    </w:pPr>
  </w:style>
  <w:style w:type="paragraph" w:styleId="Textodebalo">
    <w:name w:val="Balloon Text"/>
    <w:basedOn w:val="Normal"/>
    <w:link w:val="TextodebaloChar"/>
    <w:rsid w:val="00A53028"/>
    <w:rPr>
      <w:rFonts w:ascii="Tahoma" w:hAnsi="Tahoma"/>
      <w:sz w:val="16"/>
      <w:szCs w:val="16"/>
    </w:rPr>
  </w:style>
  <w:style w:type="character" w:customStyle="1" w:styleId="TextodebaloChar">
    <w:name w:val="Texto de balão Char"/>
    <w:link w:val="Textodebalo"/>
    <w:rsid w:val="00A53028"/>
    <w:rPr>
      <w:rFonts w:ascii="Tahoma" w:hAnsi="Tahoma" w:cs="Tahoma"/>
      <w:sz w:val="16"/>
      <w:szCs w:val="16"/>
      <w:lang w:val="es-ES" w:eastAsia="es-ES"/>
    </w:rPr>
  </w:style>
  <w:style w:type="character" w:styleId="Hyperlink">
    <w:name w:val="Hyperlink"/>
    <w:rsid w:val="00A53028"/>
    <w:rPr>
      <w:color w:val="0000FF"/>
      <w:u w:val="single"/>
    </w:rPr>
  </w:style>
  <w:style w:type="character" w:customStyle="1" w:styleId="Mention">
    <w:name w:val="Mention"/>
    <w:basedOn w:val="Fontepargpadro"/>
    <w:uiPriority w:val="99"/>
    <w:semiHidden/>
    <w:unhideWhenUsed/>
    <w:rsid w:val="0016694E"/>
    <w:rPr>
      <w:color w:val="2B579A"/>
      <w:shd w:val="clear" w:color="auto" w:fill="E6E6E6"/>
    </w:rPr>
  </w:style>
  <w:style w:type="paragraph" w:styleId="PargrafodaLista">
    <w:name w:val="List Paragraph"/>
    <w:basedOn w:val="Normal"/>
    <w:link w:val="PargrafodaListaChar"/>
    <w:uiPriority w:val="34"/>
    <w:qFormat/>
    <w:rsid w:val="00AA0F66"/>
    <w:pPr>
      <w:suppressAutoHyphens/>
      <w:ind w:left="720"/>
      <w:contextualSpacing/>
    </w:pPr>
    <w:rPr>
      <w:lang w:val="pt-BR" w:eastAsia="pt-BR"/>
    </w:rPr>
  </w:style>
  <w:style w:type="character" w:customStyle="1" w:styleId="PargrafodaListaChar">
    <w:name w:val="Parágrafo da Lista Char"/>
    <w:basedOn w:val="Fontepargpadro"/>
    <w:link w:val="PargrafodaLista"/>
    <w:uiPriority w:val="34"/>
    <w:rsid w:val="00AA0F66"/>
    <w:rPr>
      <w:sz w:val="24"/>
      <w:szCs w:val="24"/>
      <w:lang w:val="pt-BR" w:eastAsia="pt-BR"/>
    </w:rPr>
  </w:style>
  <w:style w:type="character" w:styleId="Refdecomentrio">
    <w:name w:val="annotation reference"/>
    <w:basedOn w:val="Fontepargpadro"/>
    <w:semiHidden/>
    <w:unhideWhenUsed/>
    <w:rsid w:val="00E354D8"/>
    <w:rPr>
      <w:sz w:val="16"/>
      <w:szCs w:val="16"/>
    </w:rPr>
  </w:style>
  <w:style w:type="paragraph" w:styleId="Textodecomentrio">
    <w:name w:val="annotation text"/>
    <w:basedOn w:val="Normal"/>
    <w:link w:val="TextodecomentrioChar"/>
    <w:semiHidden/>
    <w:unhideWhenUsed/>
    <w:rsid w:val="00E354D8"/>
    <w:rPr>
      <w:sz w:val="20"/>
      <w:szCs w:val="20"/>
    </w:rPr>
  </w:style>
  <w:style w:type="character" w:customStyle="1" w:styleId="TextodecomentrioChar">
    <w:name w:val="Texto de comentário Char"/>
    <w:basedOn w:val="Fontepargpadro"/>
    <w:link w:val="Textodecomentrio"/>
    <w:semiHidden/>
    <w:rsid w:val="00E354D8"/>
    <w:rPr>
      <w:lang w:val="es-ES" w:eastAsia="es-ES"/>
    </w:rPr>
  </w:style>
  <w:style w:type="paragraph" w:styleId="Assuntodocomentrio">
    <w:name w:val="annotation subject"/>
    <w:basedOn w:val="Textodecomentrio"/>
    <w:next w:val="Textodecomentrio"/>
    <w:link w:val="AssuntodocomentrioChar"/>
    <w:semiHidden/>
    <w:unhideWhenUsed/>
    <w:rsid w:val="00E354D8"/>
    <w:rPr>
      <w:b/>
      <w:bCs/>
    </w:rPr>
  </w:style>
  <w:style w:type="character" w:customStyle="1" w:styleId="AssuntodocomentrioChar">
    <w:name w:val="Assunto do comentário Char"/>
    <w:basedOn w:val="TextodecomentrioChar"/>
    <w:link w:val="Assuntodocomentrio"/>
    <w:semiHidden/>
    <w:rsid w:val="00E354D8"/>
    <w:rPr>
      <w:b/>
      <w:bCs/>
      <w:lang w:val="es-ES" w:eastAsia="es-ES"/>
    </w:rPr>
  </w:style>
  <w:style w:type="paragraph" w:customStyle="1" w:styleId="Seo">
    <w:name w:val="Seção"/>
    <w:basedOn w:val="PargrafodaLista"/>
    <w:qFormat/>
    <w:rsid w:val="00AE5FDB"/>
    <w:pPr>
      <w:numPr>
        <w:numId w:val="22"/>
      </w:numPr>
      <w:shd w:val="clear" w:color="auto" w:fill="FFFFFF"/>
      <w:tabs>
        <w:tab w:val="num" w:pos="360"/>
      </w:tabs>
      <w:suppressAutoHyphens w:val="0"/>
      <w:spacing w:line="360" w:lineRule="auto"/>
      <w:ind w:left="720" w:firstLine="0"/>
      <w:jc w:val="both"/>
    </w:pPr>
    <w:rPr>
      <w:b/>
      <w:color w:val="222222"/>
    </w:rPr>
  </w:style>
  <w:style w:type="paragraph" w:customStyle="1" w:styleId="Sub-subseo">
    <w:name w:val="Sub-subseção"/>
    <w:basedOn w:val="Recuodecorpodetexto"/>
    <w:qFormat/>
    <w:rsid w:val="00AE5FDB"/>
    <w:pPr>
      <w:numPr>
        <w:ilvl w:val="2"/>
        <w:numId w:val="22"/>
      </w:numPr>
      <w:tabs>
        <w:tab w:val="num" w:pos="360"/>
        <w:tab w:val="num" w:pos="2160"/>
      </w:tabs>
      <w:spacing w:after="0" w:line="360" w:lineRule="auto"/>
      <w:ind w:left="283" w:firstLine="0"/>
      <w:jc w:val="both"/>
    </w:pPr>
    <w:rPr>
      <w:b/>
      <w:lang w:val="pt-BR" w:eastAsia="pt-BR"/>
    </w:rPr>
  </w:style>
  <w:style w:type="paragraph" w:customStyle="1" w:styleId="MDPI31text">
    <w:name w:val="MDPI_3.1_text"/>
    <w:qFormat/>
    <w:rsid w:val="00AE5FDB"/>
    <w:pPr>
      <w:adjustRightInd w:val="0"/>
      <w:snapToGrid w:val="0"/>
      <w:spacing w:line="260" w:lineRule="atLeast"/>
      <w:ind w:firstLine="425"/>
      <w:jc w:val="both"/>
    </w:pPr>
    <w:rPr>
      <w:rFonts w:ascii="Palatino Linotype" w:hAnsi="Palatino Linotype"/>
      <w:snapToGrid w:val="0"/>
      <w:color w:val="000000"/>
      <w:szCs w:val="22"/>
      <w:lang w:val="en-US" w:eastAsia="de-DE" w:bidi="en-US"/>
    </w:rPr>
  </w:style>
  <w:style w:type="paragraph" w:styleId="Recuodecorpodetexto">
    <w:name w:val="Body Text Indent"/>
    <w:basedOn w:val="Normal"/>
    <w:link w:val="RecuodecorpodetextoChar"/>
    <w:semiHidden/>
    <w:unhideWhenUsed/>
    <w:rsid w:val="00AE5FDB"/>
    <w:pPr>
      <w:spacing w:after="120"/>
      <w:ind w:left="283"/>
    </w:pPr>
  </w:style>
  <w:style w:type="character" w:customStyle="1" w:styleId="RecuodecorpodetextoChar">
    <w:name w:val="Recuo de corpo de texto Char"/>
    <w:basedOn w:val="Fontepargpadro"/>
    <w:link w:val="Recuodecorpodetexto"/>
    <w:semiHidden/>
    <w:rsid w:val="00AE5FDB"/>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91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Descripcion xmlns="a4ff5ec7-4468-4416-b256-2de1d7254c7f">5 p.</Descripcion>
    <LikedBy xmlns="http://schemas.microsoft.com/sharepoint/v3">
      <UserInfo>
        <DisplayName/>
        <AccountId xsi:nil="true"/>
        <AccountType/>
      </UserInfo>
    </LikedBy>
    <RatedBy xmlns="http://schemas.microsoft.com/sharepoint/v3">
      <UserInfo>
        <DisplayName/>
        <AccountId xsi:nil="true"/>
        <AccountType/>
      </UserInfo>
    </RatedBy>
    <Caracteristica_x0020_CIER xmlns="a516f857-f725-4bc6-908c-2cadec914471">Trabajo Técnico</Caracteristica_x0020_CIER>
    <Evento_x0020_nombre_x0020_CIER xmlns="a516f857-f725-4bc6-908c-2cadec914471" xsi:nil="true"/>
    <Autores_x0020_empresariales_x0020_CIER xmlns="a516f857-f725-4bc6-908c-2cadec914471">(BRAZILIAN) NAVAL WAR COLLEGE (EGN)</Autores_x0020_empresariales_x0020_CIER>
    <Evento_x0020_lugar_x0020_CIER xmlns="a516f857-f725-4bc6-908c-2cadec914471" xsi:nil="true"/>
    <Cantidad_x0020_Vendidos_x0020_CIER xmlns="a516f857-f725-4bc6-908c-2cadec914471" xsi:nil="true"/>
    <i8a2196965de4d4c8c4f7e4b2f92ad1c xmlns="a516f857-f725-4bc6-908c-2cadec914471">
      <Terms xmlns="http://schemas.microsoft.com/office/infopath/2007/PartnerControls">
        <TermInfo xmlns="http://schemas.microsoft.com/office/infopath/2007/PartnerControls">
          <TermName xmlns="http://schemas.microsoft.com/office/infopath/2007/PartnerControls">Mercosur</TermName>
          <TermId xmlns="http://schemas.microsoft.com/office/infopath/2007/PartnerControls">d5a4cbac-a6cb-4ac5-ab9e-9f3b366449ad</TermId>
        </TermInfo>
        <TermInfo xmlns="http://schemas.microsoft.com/office/infopath/2007/PartnerControls">
          <TermName xmlns="http://schemas.microsoft.com/office/infopath/2007/PartnerControls">Integración energética</TermName>
          <TermId xmlns="http://schemas.microsoft.com/office/infopath/2007/PartnerControls">b8e00250-ca8b-4676-8517-88b2bf8d2a3f</TermId>
        </TermInfo>
        <TermInfo xmlns="http://schemas.microsoft.com/office/infopath/2007/PartnerControls">
          <TermName xmlns="http://schemas.microsoft.com/office/infopath/2007/PartnerControls">Integración regional</TermName>
          <TermId xmlns="http://schemas.microsoft.com/office/infopath/2007/PartnerControls">02e5f3a9-ca11-496f-b8c6-1dff3568cb56</TermId>
        </TermInfo>
      </Terms>
    </i8a2196965de4d4c8c4f7e4b2f92ad1c>
    <Evento_x0020_numero_x0020_CIER xmlns="a516f857-f725-4bc6-908c-2cadec914471" xsi:nil="true"/>
    <g05bf14ef2b746659e0e74d8fcd8057c xmlns="a516f857-f725-4bc6-908c-2cadec914471">
      <Terms xmlns="http://schemas.microsoft.com/office/infopath/2007/PartnerControls">
        <TermInfo xmlns="http://schemas.microsoft.com/office/infopath/2007/PartnerControls">
          <TermName xmlns="http://schemas.microsoft.com/office/infopath/2007/PartnerControls">Inglés</TermName>
          <TermId xmlns="http://schemas.microsoft.com/office/infopath/2007/PartnerControls">b1bede73-04b8-4f25-941a-b16028441b23</TermId>
        </TermInfo>
      </Terms>
    </g05bf14ef2b746659e0e74d8fcd8057c>
    <Descripcion_x0020_CIER xmlns="a516f857-f725-4bc6-908c-2cadec914471">Santos, Thauan
&lt;br/&gt; 
&lt;br/&gt; 
Introduction. Main Findings. Issues to take into account. Quantitative Analysis. Current challenges.</Descripcion_x0020_CIER>
    <o9a68cad074f4578b7ee83cbad64fd25 xmlns="a516f857-f725-4bc6-908c-2cadec914471">
      <Terms xmlns="http://schemas.microsoft.com/office/infopath/2007/PartnerControls">
        <TermInfo xmlns="http://schemas.microsoft.com/office/infopath/2007/PartnerControls">
          <TermName xmlns="http://schemas.microsoft.com/office/infopath/2007/PartnerControls">Integración Energética Regional</TermName>
          <TermId xmlns="http://schemas.microsoft.com/office/infopath/2007/PartnerControls">a49c609c-f4b0-4e8a-8d20-939bccba8d92</TermId>
        </TermInfo>
      </Terms>
    </o9a68cad074f4578b7ee83cbad64fd25>
    <Evento_x0020_fecha_x0020_CIER xmlns="a516f857-f725-4bc6-908c-2cadec914471" xsi:nil="true"/>
    <Evento_x0020_Link_x0020_CIER xmlns="a516f857-f725-4bc6-908c-2cadec914471">
      <Url xsi:nil="true"/>
      <Description xsi:nil="true"/>
    </Evento_x0020_Link_x0020_CIER>
    <TaxCatchAll xmlns="a516f857-f725-4bc6-908c-2cadec914471">
      <Value>110</Value>
      <Value>58</Value>
      <Value>27</Value>
      <Value>281</Value>
      <Value>76</Value>
      <Value>109</Value>
      <Value>25</Value>
    </TaxCatchAll>
    <ec299561128941688612ac6422c16d9e xmlns="a516f857-f725-4bc6-908c-2cadec914471">
      <Terms xmlns="http://schemas.microsoft.com/office/infopath/2007/PartnerControls">
        <TermInfo xmlns="http://schemas.microsoft.com/office/infopath/2007/PartnerControls">
          <TermName xmlns="http://schemas.microsoft.com/office/infopath/2007/PartnerControls">TRANSMISION</TermName>
          <TermId xmlns="http://schemas.microsoft.com/office/infopath/2007/PartnerControls">3fae19f2-8a0a-4911-98b9-923a2be55fc2</TermId>
        </TermInfo>
      </Terms>
    </ec299561128941688612ac6422c16d9e>
    <Restringido xmlns="a516f857-f725-4bc6-908c-2cadec914471">true</Restringido>
    <Origen_x0020_editorial_x0020_CIER xmlns="a516f857-f725-4bc6-908c-2cadec914471">CIER</Origen_x0020_editorial_x0020_CIER>
    <p6fce760650a4778a1ac03a5f3401268 xmlns="a516f857-f725-4bc6-908c-2cadec914471">
      <Terms xmlns="http://schemas.microsoft.com/office/infopath/2007/PartnerControls">
        <TermInfo xmlns="http://schemas.microsoft.com/office/infopath/2007/PartnerControls">
          <TermName xmlns="http://schemas.microsoft.com/office/infopath/2007/PartnerControls">Brasil</TermName>
          <TermId xmlns="http://schemas.microsoft.com/office/infopath/2007/PartnerControls">8dfc9bd3-5809-424a-a052-ca4772fc3728</TermId>
        </TermInfo>
      </Terms>
    </p6fce760650a4778a1ac03a5f3401268>
    <g277b0d3dda74f0b84c350bdeb72b2f5 xmlns="a516f857-f725-4bc6-908c-2cadec914471">
      <Terms xmlns="http://schemas.microsoft.com/office/infopath/2007/PartnerControls"/>
    </g277b0d3dda74f0b84c350bdeb72b2f5>
    <Imagen_x0020_Presentacion_x0020_CIER xmlns="a516f857-f725-4bc6-908c-2cadec914471">
      <Url>http://cier-shp13:8181/es-uy/PublishingImages/Imágenes_documentos_hub/imagen_trabajo_tecnico2.jpg</Url>
      <Description>http://www.cier.org/es-uy/PublishingImages/Im%C3%A1genes_documentos_hub/imagen_trabajo_tecnico2.jpg</Description>
    </Imagen_x0020_Presentacion_x0020_CIER>
    <h35b8d9605d64c9bbb9224ed5df1aa5d xmlns="a516f857-f725-4bc6-908c-2cadec914471">
      <Terms xmlns="http://schemas.microsoft.com/office/infopath/2007/PartnerControls"/>
    </h35b8d9605d64c9bbb9224ed5df1aa5d>
    <Autores_x0020_personas_x0020_CIER xmlns="a516f857-f725-4bc6-908c-2cadec914471">Santos, Thauan</Autores_x0020_personas_x0020_CIER>
    <Fecha_x0020_ingreso_x0020_documento_x0020_CIER xmlns="a516f857-f725-4bc6-908c-2cadec914471">2018-10-03T03:00:00+00:00</Fecha_x0020_ingreso_x0020_documento_x0020_CIER>
    <Precio_x0020_CIER xmlns="a516f857-f725-4bc6-908c-2cadec914471">0</Precio_x0020_CIER>
    <Tipo_x0020_documento_x0020_CIER xmlns="a516f857-f725-4bc6-908c-2cadec914471">Final</Tipo_x0020_documento_x0020_CIER>
    <Fecha_x0020_documento_x0020_CIER xmlns="a516f857-f725-4bc6-908c-2cadec914471">2018-01-01T02:00:00+00:00</Fecha_x0020_documento_x0020_CIER>
    <a8227f18a4104c3a8138066170411a14 xmlns="a516f857-f725-4bc6-908c-2cadec914471">
      <Terms xmlns="http://schemas.microsoft.com/office/infopath/2007/PartnerControls"/>
    </a8227f18a4104c3a8138066170411a14>
    <CantidadDescargasCIER xmlns="a516f857-f725-4bc6-908c-2cadec914471">2</CantidadDescargasCIER>
    <CantidadVisualizacionesCIER xmlns="a516f857-f725-4bc6-908c-2cadec914471">1133</CantidadVisualizacionesCIER>
  </documentManagement>
</p:properties>
</file>

<file path=customXml/item2.xml><?xml version="1.0" encoding="utf-8"?>
<ct:contentTypeSchema xmlns:ct="http://schemas.microsoft.com/office/2006/metadata/contentType" xmlns:ma="http://schemas.microsoft.com/office/2006/metadata/properties/metaAttributes" ct:_="" ma:_="" ma:contentTypeName="Documento CIER" ma:contentTypeID="0x01010021A37FEBA74AF54BB5A0C5DAED7D50370055EC5691B36789409FF062F685113C05" ma:contentTypeVersion="20" ma:contentTypeDescription="" ma:contentTypeScope="" ma:versionID="9ab2857e52a063c35af705a539ff3cfb">
  <xsd:schema xmlns:xsd="http://www.w3.org/2001/XMLSchema" xmlns:xs="http://www.w3.org/2001/XMLSchema" xmlns:p="http://schemas.microsoft.com/office/2006/metadata/properties" xmlns:ns1="http://schemas.microsoft.com/sharepoint/v3" xmlns:ns2="a516f857-f725-4bc6-908c-2cadec914471" xmlns:ns3="a4ff5ec7-4468-4416-b256-2de1d7254c7f" targetNamespace="http://schemas.microsoft.com/office/2006/metadata/properties" ma:root="true" ma:fieldsID="c5fc8ece338801217cec220de378d6e4" ns1:_="" ns2:_="" ns3:_="">
    <xsd:import namespace="http://schemas.microsoft.com/sharepoint/v3"/>
    <xsd:import namespace="a516f857-f725-4bc6-908c-2cadec914471"/>
    <xsd:import namespace="a4ff5ec7-4468-4416-b256-2de1d7254c7f"/>
    <xsd:element name="properties">
      <xsd:complexType>
        <xsd:sequence>
          <xsd:element name="documentManagement">
            <xsd:complexType>
              <xsd:all>
                <xsd:element ref="ns2:Autores_x0020_personas_x0020_CIER" minOccurs="0"/>
                <xsd:element ref="ns2:Autores_x0020_empresariales_x0020_CIER" minOccurs="0"/>
                <xsd:element ref="ns2:Origen_x0020_editorial_x0020_CIER" minOccurs="0"/>
                <xsd:element ref="ns2:Fecha_x0020_documento_x0020_CIER" minOccurs="0"/>
                <xsd:element ref="ns2:Fecha_x0020_ingreso_x0020_documento_x0020_CIER" minOccurs="0"/>
                <xsd:element ref="ns2:Caracteristica_x0020_CIER" minOccurs="0"/>
                <xsd:element ref="ns2:Descripcion_x0020_CIER" minOccurs="0"/>
                <xsd:element ref="ns2:Evento_x0020_nombre_x0020_CIER" minOccurs="0"/>
                <xsd:element ref="ns2:Evento_x0020_numero_x0020_CIER" minOccurs="0"/>
                <xsd:element ref="ns2:Evento_x0020_fecha_x0020_CIER" minOccurs="0"/>
                <xsd:element ref="ns2:Evento_x0020_lugar_x0020_CIER" minOccurs="0"/>
                <xsd:element ref="ns2:Evento_x0020_Link_x0020_CIER" minOccurs="0"/>
                <xsd:element ref="ns2:Cantidad_x0020_Vendidos_x0020_CIER" minOccurs="0"/>
                <xsd:element ref="ns2:Imagen_x0020_Presentacion_x0020_CIER" minOccurs="0"/>
                <xsd:element ref="ns2:Precio_x0020_CIER" minOccurs="0"/>
                <xsd:element ref="ns1:AverageRating" minOccurs="0"/>
                <xsd:element ref="ns1:RatingCount" minOccurs="0"/>
                <xsd:element ref="ns1:LikesCount" minOccurs="0"/>
                <xsd:element ref="ns2:Tipo_x0020_documento_x0020_CIER" minOccurs="0"/>
                <xsd:element ref="ns2:a8227f18a4104c3a8138066170411a14" minOccurs="0"/>
                <xsd:element ref="ns2:TaxCatchAllLabel" minOccurs="0"/>
                <xsd:element ref="ns2:g05bf14ef2b746659e0e74d8fcd8057c" minOccurs="0"/>
                <xsd:element ref="ns2:i8a2196965de4d4c8c4f7e4b2f92ad1c" minOccurs="0"/>
                <xsd:element ref="ns2:ec299561128941688612ac6422c16d9e" minOccurs="0"/>
                <xsd:element ref="ns2:g277b0d3dda74f0b84c350bdeb72b2f5" minOccurs="0"/>
                <xsd:element ref="ns1:RatedBy" minOccurs="0"/>
                <xsd:element ref="ns1:Ratings" minOccurs="0"/>
                <xsd:element ref="ns2:p6fce760650a4778a1ac03a5f3401268" minOccurs="0"/>
                <xsd:element ref="ns1:LikedBy" minOccurs="0"/>
                <xsd:element ref="ns2:CantidadDescargasCIER" minOccurs="0"/>
                <xsd:element ref="ns2:CantidadVisualizacionesCIER" minOccurs="0"/>
                <xsd:element ref="ns2:h35b8d9605d64c9bbb9224ed5df1aa5d" minOccurs="0"/>
                <xsd:element ref="ns2:o9a68cad074f4578b7ee83cbad64fd25" minOccurs="0"/>
                <xsd:element ref="ns2:TaxCatchAll" minOccurs="0"/>
                <xsd:element ref="ns2:Restringido" minOccurs="0"/>
                <xsd:element ref="ns3:Descripc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4" nillable="true" ma:displayName="Clasificación (0-5)" ma:decimals="2" ma:description="Valor promedio de todas las clasificaciones que se han enviado" ma:internalName="AverageRating" ma:readOnly="true">
      <xsd:simpleType>
        <xsd:restriction base="dms:Number"/>
      </xsd:simpleType>
    </xsd:element>
    <xsd:element name="RatingCount" ma:index="25" nillable="true" ma:displayName="Número de clasificaciones" ma:decimals="0" ma:description="Número de clasificaciones enviado" ma:internalName="RatingCount" ma:readOnly="true">
      <xsd:simpleType>
        <xsd:restriction base="dms:Number"/>
      </xsd:simpleType>
    </xsd:element>
    <xsd:element name="LikesCount" ma:index="26" nillable="true" ma:displayName="Número de Me gusta" ma:internalName="LikesCount">
      <xsd:simpleType>
        <xsd:restriction base="dms:Unknown"/>
      </xsd:simpleType>
    </xsd:element>
    <xsd:element name="RatedBy" ma:index="40"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1" nillable="true" ma:displayName="Valoraciones de usuario" ma:description="Valoraciones de usuario para el elemento" ma:hidden="true" ma:internalName="Ratings">
      <xsd:simpleType>
        <xsd:restriction base="dms:Note"/>
      </xsd:simpleType>
    </xsd:element>
    <xsd:element name="LikedBy" ma:index="43"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16f857-f725-4bc6-908c-2cadec914471" elementFormDefault="qualified">
    <xsd:import namespace="http://schemas.microsoft.com/office/2006/documentManagement/types"/>
    <xsd:import namespace="http://schemas.microsoft.com/office/infopath/2007/PartnerControls"/>
    <xsd:element name="Autores_x0020_personas_x0020_CIER" ma:index="2" nillable="true" ma:displayName="Autores personas CIER" ma:internalName="Autores_x0020_personas_x0020_CIER">
      <xsd:simpleType>
        <xsd:restriction base="dms:Text">
          <xsd:maxLength value="255"/>
        </xsd:restriction>
      </xsd:simpleType>
    </xsd:element>
    <xsd:element name="Autores_x0020_empresariales_x0020_CIER" ma:index="3" nillable="true" ma:displayName="Autores empresariales CIER" ma:internalName="Autores_x0020_empresariales_x0020_CIER">
      <xsd:simpleType>
        <xsd:restriction base="dms:Text">
          <xsd:maxLength value="255"/>
        </xsd:restriction>
      </xsd:simpleType>
    </xsd:element>
    <xsd:element name="Origen_x0020_editorial_x0020_CIER" ma:index="4" nillable="true" ma:displayName="Origen editorial CIER" ma:internalName="Origen_x0020_editorial_x0020_CIER">
      <xsd:simpleType>
        <xsd:restriction base="dms:Text">
          <xsd:maxLength value="255"/>
        </xsd:restriction>
      </xsd:simpleType>
    </xsd:element>
    <xsd:element name="Fecha_x0020_documento_x0020_CIER" ma:index="5" nillable="true" ma:displayName="Fecha documento CIER" ma:format="DateOnly" ma:internalName="Fecha_x0020_documento_x0020_CIER">
      <xsd:simpleType>
        <xsd:restriction base="dms:DateTime"/>
      </xsd:simpleType>
    </xsd:element>
    <xsd:element name="Fecha_x0020_ingreso_x0020_documento_x0020_CIER" ma:index="6" nillable="true" ma:displayName="Fecha ingreso documento CIER" ma:format="DateOnly" ma:internalName="Fecha_x0020_ingreso_x0020_documento_x0020_CIER">
      <xsd:simpleType>
        <xsd:restriction base="dms:DateTime"/>
      </xsd:simpleType>
    </xsd:element>
    <xsd:element name="Caracteristica_x0020_CIER" ma:index="9" nillable="true" ma:displayName="Caracteristica CIER" ma:internalName="Caracteristica_x0020_CIER" ma:readOnly="false">
      <xsd:simpleType>
        <xsd:restriction base="dms:Text">
          <xsd:maxLength value="255"/>
        </xsd:restriction>
      </xsd:simpleType>
    </xsd:element>
    <xsd:element name="Descripcion_x0020_CIER" ma:index="10" nillable="true" ma:displayName="Descripcion CIER" ma:internalName="Descripcion_x0020_CIER" ma:readOnly="false">
      <xsd:simpleType>
        <xsd:restriction base="dms:Note"/>
      </xsd:simpleType>
    </xsd:element>
    <xsd:element name="Evento_x0020_nombre_x0020_CIER" ma:index="16" nillable="true" ma:displayName="Evento nombre CIER" ma:internalName="Evento_x0020_nombre_x0020_CIER">
      <xsd:simpleType>
        <xsd:restriction base="dms:Text">
          <xsd:maxLength value="255"/>
        </xsd:restriction>
      </xsd:simpleType>
    </xsd:element>
    <xsd:element name="Evento_x0020_numero_x0020_CIER" ma:index="17" nillable="true" ma:displayName="Evento numero CIER" ma:internalName="Evento_x0020_numero_x0020_CIER">
      <xsd:simpleType>
        <xsd:restriction base="dms:Text">
          <xsd:maxLength value="255"/>
        </xsd:restriction>
      </xsd:simpleType>
    </xsd:element>
    <xsd:element name="Evento_x0020_fecha_x0020_CIER" ma:index="18" nillable="true" ma:displayName="Evento fecha CIER" ma:format="DateOnly" ma:internalName="Evento_x0020_fecha_x0020_CIER">
      <xsd:simpleType>
        <xsd:restriction base="dms:DateTime"/>
      </xsd:simpleType>
    </xsd:element>
    <xsd:element name="Evento_x0020_lugar_x0020_CIER" ma:index="19" nillable="true" ma:displayName="Evento lugar CIER" ma:internalName="Evento_x0020_lugar_x0020_CIER">
      <xsd:simpleType>
        <xsd:restriction base="dms:Text">
          <xsd:maxLength value="255"/>
        </xsd:restriction>
      </xsd:simpleType>
    </xsd:element>
    <xsd:element name="Evento_x0020_Link_x0020_CIER" ma:index="20" nillable="true" ma:displayName="Evento Link CIER" ma:format="Hyperlink" ma:internalName="Evento_x0020_Link_x0020_CIER">
      <xsd:complexType>
        <xsd:complexContent>
          <xsd:extension base="dms:URL">
            <xsd:sequence>
              <xsd:element name="Url" type="dms:ValidUrl" minOccurs="0" nillable="true"/>
              <xsd:element name="Description" type="xsd:string" nillable="true"/>
            </xsd:sequence>
          </xsd:extension>
        </xsd:complexContent>
      </xsd:complexType>
    </xsd:element>
    <xsd:element name="Cantidad_x0020_Vendidos_x0020_CIER" ma:index="21" nillable="true" ma:displayName="Cantidad Vendidos CIER" ma:decimals="0" ma:internalName="Cantidad_x0020_Vendidos_x0020_CIER">
      <xsd:simpleType>
        <xsd:restriction base="dms:Number"/>
      </xsd:simpleType>
    </xsd:element>
    <xsd:element name="Imagen_x0020_Presentacion_x0020_CIER" ma:index="22" nillable="true" ma:displayName="Imagen Presentacion CIER" ma:format="Hyperlink" ma:internalName="Imagen_x0020_Presentacion_x0020_CIER">
      <xsd:complexType>
        <xsd:complexContent>
          <xsd:extension base="dms:URL">
            <xsd:sequence>
              <xsd:element name="Url" type="dms:ValidUrl" minOccurs="0" nillable="true"/>
              <xsd:element name="Description" type="xsd:string" nillable="true"/>
            </xsd:sequence>
          </xsd:extension>
        </xsd:complexContent>
      </xsd:complexType>
    </xsd:element>
    <xsd:element name="Precio_x0020_CIER" ma:index="23" nillable="true" ma:displayName="Precio CIER" ma:decimals="2" ma:internalName="Precio_x0020_CIER">
      <xsd:simpleType>
        <xsd:restriction base="dms:Number"/>
      </xsd:simpleType>
    </xsd:element>
    <xsd:element name="Tipo_x0020_documento_x0020_CIER" ma:index="28" nillable="true" ma:displayName="Tipo documento CIER" ma:format="Dropdown" ma:internalName="Tipo_x0020_documento_x0020_CIER">
      <xsd:simpleType>
        <xsd:restriction base="dms:Choice">
          <xsd:enumeration value="Antecedente"/>
          <xsd:enumeration value="Final"/>
        </xsd:restriction>
      </xsd:simpleType>
    </xsd:element>
    <xsd:element name="a8227f18a4104c3a8138066170411a14" ma:index="29" nillable="true" ma:taxonomy="true" ma:internalName="a8227f18a4104c3a8138066170411a14" ma:taxonomyFieldName="Subplataforma_x0020_CIER" ma:displayName="Subplataforma CIER" ma:default="" ma:fieldId="{a8227f18-a410-4c3a-8138-066170411a14}" ma:taxonomyMulti="true" ma:sspId="3a29c702-faed-49a8-b3b1-3dd6edcede64" ma:termSetId="524f337f-ec08-480a-9452-f009e8f43715" ma:anchorId="00000000-0000-0000-0000-000000000000" ma:open="false" ma:isKeyword="false">
      <xsd:complexType>
        <xsd:sequence>
          <xsd:element ref="pc:Terms" minOccurs="0" maxOccurs="1"/>
        </xsd:sequence>
      </xsd:complexType>
    </xsd:element>
    <xsd:element name="TaxCatchAllLabel" ma:index="30" nillable="true" ma:displayName="Columna global de taxonomía1" ma:hidden="true" ma:list="{27c73361-ffb4-462b-a1ee-83cd89bf0c49}" ma:internalName="TaxCatchAllLabel" ma:readOnly="true" ma:showField="CatchAllDataLabel" ma:web="a516f857-f725-4bc6-908c-2cadec914471">
      <xsd:complexType>
        <xsd:complexContent>
          <xsd:extension base="dms:MultiChoiceLookup">
            <xsd:sequence>
              <xsd:element name="Value" type="dms:Lookup" maxOccurs="unbounded" minOccurs="0" nillable="true"/>
            </xsd:sequence>
          </xsd:extension>
        </xsd:complexContent>
      </xsd:complexType>
    </xsd:element>
    <xsd:element name="g05bf14ef2b746659e0e74d8fcd8057c" ma:index="32" nillable="true" ma:taxonomy="true" ma:internalName="g05bf14ef2b746659e0e74d8fcd8057c" ma:taxonomyFieldName="Idioma_x0020_CIER" ma:displayName="Idioma CIER" ma:default="" ma:fieldId="{005bf14e-f2b7-4665-9e0e-74d8fcd8057c}" ma:sspId="3a29c702-faed-49a8-b3b1-3dd6edcede64" ma:termSetId="82ef80f1-be82-446c-aaf6-138b79fa7b5a" ma:anchorId="00000000-0000-0000-0000-000000000000" ma:open="false" ma:isKeyword="false">
      <xsd:complexType>
        <xsd:sequence>
          <xsd:element ref="pc:Terms" minOccurs="0" maxOccurs="1"/>
        </xsd:sequence>
      </xsd:complexType>
    </xsd:element>
    <xsd:element name="i8a2196965de4d4c8c4f7e4b2f92ad1c" ma:index="35" nillable="true" ma:taxonomy="true" ma:internalName="i8a2196965de4d4c8c4f7e4b2f92ad1c" ma:taxonomyFieldName="Descriptores_x0020_CIER" ma:displayName="Descriptores CIER" ma:default="" ma:fieldId="{28a21969-65de-4d4c-8c4f-7e4b2f92ad1c}" ma:taxonomyMulti="true" ma:sspId="3a29c702-faed-49a8-b3b1-3dd6edcede64" ma:termSetId="be2b0372-df69-4be2-8ebd-99f2399efddf" ma:anchorId="00000000-0000-0000-0000-000000000000" ma:open="true" ma:isKeyword="false">
      <xsd:complexType>
        <xsd:sequence>
          <xsd:element ref="pc:Terms" minOccurs="0" maxOccurs="1"/>
        </xsd:sequence>
      </xsd:complexType>
    </xsd:element>
    <xsd:element name="ec299561128941688612ac6422c16d9e" ma:index="37" nillable="true" ma:taxonomy="true" ma:internalName="ec299561128941688612ac6422c16d9e" ma:taxonomyFieldName="Negocio_x0020_del_x0020_Sector_x0020_CIER" ma:displayName="Negocio del Sector CIER" ma:default="" ma:fieldId="{ec299561-1289-4168-8612-ac6422c16d9e}" ma:taxonomyMulti="true" ma:sspId="3a29c702-faed-49a8-b3b1-3dd6edcede64" ma:termSetId="7f75b109-23c0-4237-9fa9-63e4e71efe84" ma:anchorId="00000000-0000-0000-0000-000000000000" ma:open="false" ma:isKeyword="false">
      <xsd:complexType>
        <xsd:sequence>
          <xsd:element ref="pc:Terms" minOccurs="0" maxOccurs="1"/>
        </xsd:sequence>
      </xsd:complexType>
    </xsd:element>
    <xsd:element name="g277b0d3dda74f0b84c350bdeb72b2f5" ma:index="39" nillable="true" ma:taxonomy="true" ma:internalName="g277b0d3dda74f0b84c350bdeb72b2f5" ma:taxonomyFieldName="Subarea_x0020_de_x0020_negocio_x0020_CIER" ma:displayName="Subarea de negocio CIER" ma:default="" ma:fieldId="{0277b0d3-dda7-4f0b-84c3-50bdeb72b2f5}" ma:taxonomyMulti="true" ma:sspId="3a29c702-faed-49a8-b3b1-3dd6edcede64" ma:termSetId="bafddefc-d0dc-4398-b32e-a4a1d66a15d2" ma:anchorId="00000000-0000-0000-0000-000000000000" ma:open="true" ma:isKeyword="false">
      <xsd:complexType>
        <xsd:sequence>
          <xsd:element ref="pc:Terms" minOccurs="0" maxOccurs="1"/>
        </xsd:sequence>
      </xsd:complexType>
    </xsd:element>
    <xsd:element name="p6fce760650a4778a1ac03a5f3401268" ma:index="42" nillable="true" ma:taxonomy="true" ma:internalName="p6fce760650a4778a1ac03a5f3401268" ma:taxonomyFieldName="Pais_x0020_CIER" ma:displayName="Pais CIER" ma:default="" ma:fieldId="{96fce760-650a-4778-a1ac-03a5f3401268}" ma:taxonomyMulti="true" ma:sspId="3a29c702-faed-49a8-b3b1-3dd6edcede64" ma:termSetId="81df36c4-8f31-461e-a277-7d402910a4d3" ma:anchorId="00000000-0000-0000-0000-000000000000" ma:open="false" ma:isKeyword="false">
      <xsd:complexType>
        <xsd:sequence>
          <xsd:element ref="pc:Terms" minOccurs="0" maxOccurs="1"/>
        </xsd:sequence>
      </xsd:complexType>
    </xsd:element>
    <xsd:element name="CantidadDescargasCIER" ma:index="44" nillable="true" ma:displayName="CantidadDescargasCIER" ma:decimals="0" ma:hidden="true" ma:internalName="CantidadDescargasCIER" ma:readOnly="false">
      <xsd:simpleType>
        <xsd:restriction base="dms:Number"/>
      </xsd:simpleType>
    </xsd:element>
    <xsd:element name="CantidadVisualizacionesCIER" ma:index="45" nillable="true" ma:displayName="CantidadVisualizacionesCIER" ma:decimals="0" ma:hidden="true" ma:internalName="CantidadVisualizacionesCIER" ma:readOnly="false">
      <xsd:simpleType>
        <xsd:restriction base="dms:Number"/>
      </xsd:simpleType>
    </xsd:element>
    <xsd:element name="h35b8d9605d64c9bbb9224ed5df1aa5d" ma:index="46" nillable="true" ma:taxonomy="true" ma:internalName="h35b8d9605d64c9bbb9224ed5df1aa5d" ma:taxonomyFieldName="Categorias_x0020_CIER" ma:displayName="Categorias CIER" ma:readOnly="false" ma:default="" ma:fieldId="{135b8d96-05d6-4c9b-bb92-24ed5df1aa5d}" ma:taxonomyMulti="true" ma:sspId="3a29c702-faed-49a8-b3b1-3dd6edcede64" ma:termSetId="e67fd9d9-9eab-493b-8fa8-ae10e0bc60d7" ma:anchorId="00000000-0000-0000-0000-000000000000" ma:open="true" ma:isKeyword="false">
      <xsd:complexType>
        <xsd:sequence>
          <xsd:element ref="pc:Terms" minOccurs="0" maxOccurs="1"/>
        </xsd:sequence>
      </xsd:complexType>
    </xsd:element>
    <xsd:element name="o9a68cad074f4578b7ee83cbad64fd25" ma:index="47" nillable="true" ma:taxonomy="true" ma:internalName="o9a68cad074f4578b7ee83cbad64fd25" ma:taxonomyFieldName="Plataforma_x0020_CIER" ma:displayName="Plataforma CIER" ma:default="" ma:fieldId="{89a68cad-074f-4578-b7ee-83cbad64fd25}" ma:taxonomyMulti="true" ma:sspId="3a29c702-faed-49a8-b3b1-3dd6edcede64" ma:termSetId="1605320d-8ff2-4d9b-af35-5f7b441eb732" ma:anchorId="00000000-0000-0000-0000-000000000000" ma:open="true" ma:isKeyword="false">
      <xsd:complexType>
        <xsd:sequence>
          <xsd:element ref="pc:Terms" minOccurs="0" maxOccurs="1"/>
        </xsd:sequence>
      </xsd:complexType>
    </xsd:element>
    <xsd:element name="TaxCatchAll" ma:index="49" nillable="true" ma:displayName="Columna global de taxonomía" ma:hidden="true" ma:list="{27c73361-ffb4-462b-a1ee-83cd89bf0c49}" ma:internalName="TaxCatchAll" ma:showField="CatchAllData" ma:web="a516f857-f725-4bc6-908c-2cadec914471">
      <xsd:complexType>
        <xsd:complexContent>
          <xsd:extension base="dms:MultiChoiceLookup">
            <xsd:sequence>
              <xsd:element name="Value" type="dms:Lookup" maxOccurs="unbounded" minOccurs="0" nillable="true"/>
            </xsd:sequence>
          </xsd:extension>
        </xsd:complexContent>
      </xsd:complexType>
    </xsd:element>
    <xsd:element name="Restringido" ma:index="50" nillable="true" ma:displayName="Restringido" ma:default="0" ma:internalName="Restringid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ff5ec7-4468-4416-b256-2de1d7254c7f" elementFormDefault="qualified">
    <xsd:import namespace="http://schemas.microsoft.com/office/2006/documentManagement/types"/>
    <xsd:import namespace="http://schemas.microsoft.com/office/infopath/2007/PartnerControls"/>
    <xsd:element name="Descripcion" ma:index="51" nillable="true" ma:displayName="Descripcion" ma:internalName="Descripc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8BDB2A-F803-4F4F-B006-2C5861D59DE0}"/>
</file>

<file path=customXml/itemProps2.xml><?xml version="1.0" encoding="utf-8"?>
<ds:datastoreItem xmlns:ds="http://schemas.openxmlformats.org/officeDocument/2006/customXml" ds:itemID="{FC4E9785-6ACE-4ABD-A36C-E2D2875D34D1}"/>
</file>

<file path=customXml/itemProps3.xml><?xml version="1.0" encoding="utf-8"?>
<ds:datastoreItem xmlns:ds="http://schemas.openxmlformats.org/officeDocument/2006/customXml" ds:itemID="{9D30E398-51F9-4A7B-BFE1-B2FACDD6C668}"/>
</file>

<file path=docProps/app.xml><?xml version="1.0" encoding="utf-8"?>
<Properties xmlns="http://schemas.openxmlformats.org/officeDocument/2006/extended-properties" xmlns:vt="http://schemas.openxmlformats.org/officeDocument/2006/docPropsVTypes">
  <Template>Normal</Template>
  <TotalTime>113</TotalTime>
  <Pages>5</Pages>
  <Words>2883</Words>
  <Characters>15573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Equipo ADX</Company>
  <LinksUpToDate>false</LinksUpToDate>
  <CharactersWithSpaces>18420</CharactersWithSpaces>
  <SharedDoc>false</SharedDoc>
  <HLinks>
    <vt:vector size="6" baseType="variant">
      <vt:variant>
        <vt:i4>1441851</vt:i4>
      </vt:variant>
      <vt:variant>
        <vt:i4>0</vt:i4>
      </vt:variant>
      <vt:variant>
        <vt:i4>0</vt:i4>
      </vt:variant>
      <vt:variant>
        <vt:i4>5</vt:i4>
      </vt:variant>
      <vt:variant>
        <vt:lpwstr>mailto:trabajostecnicos@integracier.com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Energy Security as an Alternative approach to South America</dc:title>
  <dc:creator>CACIER</dc:creator>
  <cp:lastModifiedBy>Thauan Santos</cp:lastModifiedBy>
  <cp:revision>6</cp:revision>
  <cp:lastPrinted>2013-12-19T15:06:00Z</cp:lastPrinted>
  <dcterms:created xsi:type="dcterms:W3CDTF">2017-08-08T23:32:00Z</dcterms:created>
  <dcterms:modified xsi:type="dcterms:W3CDTF">2018-06-20T11:05:00Z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0x01010021A37FEBA74AF54BB5A0C5DAED7D50370055EC5691B36789409FF062F685113C05</vt:lpwstr>
  </property>
  <property fmtid="{D5CDD505-2E9C-101B-9397-08002B2CF9AE}" pid="3" name="Idioma CIER">
    <vt:lpwstr>76;#Inglés|b1bede73-04b8-4f25-941a-b16028441b23</vt:lpwstr>
  </property>
  <property fmtid="{D5CDD505-2E9C-101B-9397-08002B2CF9AE}" pid="4" name="Descriptores CIER">
    <vt:lpwstr>110;#Mercosur|d5a4cbac-a6cb-4ac5-ab9e-9f3b366449ad;#109;#Integración energética|b8e00250-ca8b-4676-8517-88b2bf8d2a3f;#281;#Integración regional|02e5f3a9-ca11-496f-b8c6-1dff3568cb56</vt:lpwstr>
  </property>
  <property fmtid="{D5CDD505-2E9C-101B-9397-08002B2CF9AE}" pid="6" name="VariationsItemGroupID">
    <vt:lpwstr>f869efea-51fc-4e7f-ac98-0490b24853ac</vt:lpwstr>
  </property>
  <property fmtid="{D5CDD505-2E9C-101B-9397-08002B2CF9AE}" pid="7" name="Plataforma CIER">
    <vt:lpwstr>58;#Integración Energética Regional|a49c609c-f4b0-4e8a-8d20-939bccba8d92</vt:lpwstr>
  </property>
  <property fmtid="{D5CDD505-2E9C-101B-9397-08002B2CF9AE}" pid="8" name="Pais CIER">
    <vt:lpwstr>27;#Brasil|8dfc9bd3-5809-424a-a052-ca4772fc3728</vt:lpwstr>
  </property>
  <property fmtid="{D5CDD505-2E9C-101B-9397-08002B2CF9AE}" pid="9" name="Subplataforma CIER">
    <vt:lpwstr/>
  </property>
  <property fmtid="{D5CDD505-2E9C-101B-9397-08002B2CF9AE}" pid="11" name="Negocio del Sector CIER">
    <vt:lpwstr>25;#TRANSMISION|3fae19f2-8a0a-4911-98b9-923a2be55fc2</vt:lpwstr>
  </property>
  <property fmtid="{D5CDD505-2E9C-101B-9397-08002B2CF9AE}" pid="12" name="Categorias CIER">
    <vt:lpwstr/>
  </property>
  <property fmtid="{D5CDD505-2E9C-101B-9397-08002B2CF9AE}" pid="13" name="Subarea de negocio CIER">
    <vt:lpwstr/>
  </property>
</Properties>
</file>