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0A" w:rsidRPr="00746753" w:rsidRDefault="0005680A" w:rsidP="0005680A">
      <w:pPr>
        <w:spacing w:after="0" w:line="240" w:lineRule="auto"/>
        <w:ind w:left="260"/>
        <w:rPr>
          <w:rFonts w:asciiTheme="minorHAnsi" w:eastAsia="Century Gothic" w:hAnsiTheme="minorHAnsi"/>
          <w:b/>
          <w:sz w:val="28"/>
          <w:highlight w:val="cyan"/>
          <w:u w:val="single"/>
        </w:rPr>
      </w:pPr>
      <w:bookmarkStart w:id="0" w:name="OLE_LINK2"/>
      <w:r>
        <w:rPr>
          <w:rFonts w:asciiTheme="minorHAnsi" w:eastAsia="Century Gothic" w:hAnsiTheme="minorHAnsi"/>
          <w:b/>
          <w:sz w:val="28"/>
          <w:highlight w:val="cyan"/>
          <w:u w:val="single"/>
        </w:rPr>
        <w:t>JUEVES</w:t>
      </w:r>
      <w:r w:rsidRPr="00746753">
        <w:rPr>
          <w:rFonts w:asciiTheme="minorHAnsi" w:eastAsia="Century Gothic" w:hAnsiTheme="minorHAnsi"/>
          <w:b/>
          <w:sz w:val="28"/>
          <w:highlight w:val="cyan"/>
          <w:u w:val="single"/>
        </w:rPr>
        <w:t xml:space="preserve">, </w:t>
      </w:r>
      <w:r>
        <w:rPr>
          <w:rFonts w:asciiTheme="minorHAnsi" w:eastAsia="Century Gothic" w:hAnsiTheme="minorHAnsi"/>
          <w:b/>
          <w:sz w:val="28"/>
          <w:highlight w:val="cyan"/>
          <w:u w:val="single"/>
        </w:rPr>
        <w:t>16 DE</w:t>
      </w:r>
      <w:r w:rsidRPr="00746753">
        <w:rPr>
          <w:rFonts w:asciiTheme="minorHAnsi" w:eastAsia="Century Gothic" w:hAnsiTheme="minorHAnsi"/>
          <w:b/>
          <w:sz w:val="28"/>
          <w:highlight w:val="cyan"/>
          <w:u w:val="single"/>
        </w:rPr>
        <w:t xml:space="preserve"> </w:t>
      </w:r>
      <w:r>
        <w:rPr>
          <w:rFonts w:asciiTheme="minorHAnsi" w:eastAsia="Century Gothic" w:hAnsiTheme="minorHAnsi"/>
          <w:b/>
          <w:sz w:val="28"/>
          <w:highlight w:val="cyan"/>
          <w:u w:val="single"/>
        </w:rPr>
        <w:t>MAYO</w:t>
      </w:r>
      <w:r w:rsidRPr="00746753">
        <w:rPr>
          <w:rFonts w:asciiTheme="minorHAnsi" w:eastAsia="Century Gothic" w:hAnsiTheme="minorHAnsi"/>
          <w:b/>
          <w:sz w:val="28"/>
          <w:highlight w:val="cyan"/>
          <w:u w:val="single"/>
        </w:rPr>
        <w:t xml:space="preserve"> </w:t>
      </w:r>
    </w:p>
    <w:p w:rsidR="0005680A" w:rsidRDefault="0005680A" w:rsidP="0005680A">
      <w:pPr>
        <w:spacing w:after="120" w:line="240" w:lineRule="auto"/>
        <w:ind w:left="261"/>
        <w:rPr>
          <w:rFonts w:asciiTheme="minorHAnsi" w:eastAsia="Century Gothic" w:hAnsiTheme="minorHAnsi"/>
          <w:b/>
          <w:sz w:val="24"/>
          <w:highlight w:val="cyan"/>
          <w:u w:val="single"/>
        </w:rPr>
      </w:pPr>
    </w:p>
    <w:p w:rsidR="0005680A" w:rsidRPr="0005680A" w:rsidRDefault="0005680A" w:rsidP="0005680A">
      <w:pPr>
        <w:spacing w:after="120" w:line="240" w:lineRule="auto"/>
        <w:ind w:left="261"/>
        <w:rPr>
          <w:rFonts w:asciiTheme="minorHAnsi" w:eastAsia="Century Gothic" w:hAnsiTheme="minorHAnsi"/>
          <w:sz w:val="28"/>
        </w:rPr>
      </w:pPr>
      <w:r w:rsidRPr="0005680A">
        <w:rPr>
          <w:rFonts w:asciiTheme="minorHAnsi" w:eastAsia="Century Gothic" w:hAnsiTheme="minorHAnsi"/>
          <w:b/>
          <w:sz w:val="28"/>
        </w:rPr>
        <w:t xml:space="preserve">ACREDITACIONES – </w:t>
      </w:r>
      <w:r w:rsidRPr="0005680A">
        <w:rPr>
          <w:rFonts w:asciiTheme="minorHAnsi" w:eastAsia="Century Gothic" w:hAnsiTheme="minorHAnsi"/>
          <w:sz w:val="28"/>
        </w:rPr>
        <w:t>7:30 A 8:30</w:t>
      </w:r>
    </w:p>
    <w:p w:rsidR="0005680A" w:rsidRPr="0005680A" w:rsidRDefault="0005680A" w:rsidP="0005680A">
      <w:pPr>
        <w:spacing w:after="120" w:line="240" w:lineRule="auto"/>
        <w:ind w:left="261"/>
        <w:rPr>
          <w:rFonts w:asciiTheme="minorHAnsi" w:eastAsia="Century Gothic" w:hAnsiTheme="minorHAnsi"/>
          <w:sz w:val="28"/>
        </w:rPr>
      </w:pPr>
      <w:r w:rsidRPr="0005680A">
        <w:rPr>
          <w:rFonts w:asciiTheme="minorHAnsi" w:eastAsia="Century Gothic" w:hAnsiTheme="minorHAnsi"/>
          <w:b/>
          <w:sz w:val="28"/>
        </w:rPr>
        <w:t xml:space="preserve">APERTURA – </w:t>
      </w:r>
      <w:r w:rsidRPr="0005680A">
        <w:rPr>
          <w:rFonts w:asciiTheme="minorHAnsi" w:eastAsia="Century Gothic" w:hAnsiTheme="minorHAnsi"/>
          <w:sz w:val="28"/>
        </w:rPr>
        <w:t>8:30 (autoridades)</w:t>
      </w:r>
    </w:p>
    <w:bookmarkEnd w:id="0"/>
    <w:p w:rsidR="0005680A" w:rsidRPr="0005680A" w:rsidRDefault="0005680A" w:rsidP="0005680A">
      <w:pPr>
        <w:spacing w:after="120" w:line="240" w:lineRule="auto"/>
        <w:ind w:left="261" w:right="28"/>
        <w:rPr>
          <w:rFonts w:asciiTheme="minorHAnsi" w:eastAsia="Century Gothic" w:hAnsiTheme="minorHAnsi"/>
          <w:b/>
          <w:sz w:val="28"/>
        </w:rPr>
      </w:pPr>
      <w:r w:rsidRPr="0005680A">
        <w:rPr>
          <w:rFonts w:asciiTheme="minorHAnsi" w:eastAsia="Century Gothic" w:hAnsiTheme="minorHAnsi"/>
          <w:b/>
          <w:sz w:val="28"/>
        </w:rPr>
        <w:t xml:space="preserve">ESTRATEGIAS EXITOSAS DE PREVENCIÓN </w:t>
      </w:r>
    </w:p>
    <w:p w:rsidR="0005680A" w:rsidRPr="0005680A" w:rsidRDefault="0005680A" w:rsidP="0005680A">
      <w:pPr>
        <w:spacing w:after="120" w:line="240" w:lineRule="auto"/>
        <w:ind w:left="260"/>
        <w:jc w:val="both"/>
        <w:rPr>
          <w:rFonts w:asciiTheme="minorHAnsi" w:eastAsia="Century Gothic" w:hAnsiTheme="minorHAnsi"/>
          <w:sz w:val="26"/>
          <w:szCs w:val="26"/>
        </w:rPr>
      </w:pPr>
      <w:r w:rsidRPr="0005680A">
        <w:rPr>
          <w:rFonts w:asciiTheme="minorHAnsi" w:eastAsia="Century Gothic" w:hAnsiTheme="minorHAnsi"/>
          <w:sz w:val="26"/>
          <w:szCs w:val="26"/>
        </w:rPr>
        <w:t xml:space="preserve">¿Qué debemos hacer para disminuir al máximo los accidentes graves o fatales? Cuál es la visión, estrategia y experiencia de en ENDE – Bolivia en salud y seguridad.  ¿Cómo estamos en la región a partir de los resultados de la encuesta regional CIER? Estado de situación y hallazgos. VISION Zero: ¿Un nuevo paradigma de la Salud y Seguridad en el Trabajo? Innovando en el desarrollo de conductas seguras: ¿Qué nos aporta la aplicación de la neurociencia? Al final del primer bloque, los conferencistas participan de un coloquio que discutirá aquellos aspectos y factores claves de una buena estrategia en SST, sus efectos en el plano político-sectorial, empresarial y cadena de suministro y servicios. </w:t>
      </w:r>
    </w:p>
    <w:p w:rsidR="0005680A" w:rsidRPr="0005680A" w:rsidRDefault="0005680A" w:rsidP="0005680A">
      <w:pPr>
        <w:spacing w:after="120" w:line="240" w:lineRule="auto"/>
        <w:ind w:left="260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1" w:name="OLE_LINK3"/>
      <w:r w:rsidRPr="0005680A">
        <w:rPr>
          <w:rFonts w:asciiTheme="minorHAnsi" w:eastAsia="Century Gothic" w:hAnsiTheme="minorHAnsi"/>
          <w:b/>
          <w:sz w:val="26"/>
          <w:szCs w:val="26"/>
        </w:rPr>
        <w:t>9:00 – 10:30</w:t>
      </w:r>
    </w:p>
    <w:bookmarkEnd w:id="1"/>
    <w:p w:rsidR="0005680A" w:rsidRPr="0005680A" w:rsidRDefault="0005680A" w:rsidP="0005680A">
      <w:pPr>
        <w:pStyle w:val="Listenabsatz"/>
        <w:numPr>
          <w:ilvl w:val="0"/>
          <w:numId w:val="1"/>
        </w:numPr>
        <w:tabs>
          <w:tab w:val="left" w:pos="620"/>
        </w:tabs>
        <w:rPr>
          <w:rFonts w:asciiTheme="minorHAnsi" w:eastAsia="Symbol" w:hAnsiTheme="minorHAnsi"/>
          <w:sz w:val="26"/>
          <w:szCs w:val="26"/>
        </w:rPr>
      </w:pPr>
      <w:r w:rsidRPr="0005680A">
        <w:rPr>
          <w:rFonts w:asciiTheme="minorHAnsi" w:eastAsia="Symbol" w:hAnsiTheme="minorHAnsi"/>
          <w:sz w:val="26"/>
          <w:szCs w:val="26"/>
        </w:rPr>
        <w:t>Visión y estrategia de prevención de accidentes graves o fatales en ENDE</w:t>
      </w:r>
    </w:p>
    <w:p w:rsidR="0005680A" w:rsidRPr="0005680A" w:rsidRDefault="0005680A" w:rsidP="0005680A">
      <w:pPr>
        <w:pStyle w:val="Listenabsatz"/>
        <w:numPr>
          <w:ilvl w:val="0"/>
          <w:numId w:val="1"/>
        </w:numPr>
        <w:tabs>
          <w:tab w:val="left" w:pos="620"/>
        </w:tabs>
        <w:rPr>
          <w:rFonts w:asciiTheme="minorHAnsi" w:eastAsia="Symbol" w:hAnsiTheme="minorHAnsi"/>
          <w:sz w:val="26"/>
          <w:szCs w:val="26"/>
        </w:rPr>
      </w:pPr>
      <w:r w:rsidRPr="0005680A">
        <w:rPr>
          <w:rFonts w:asciiTheme="minorHAnsi" w:eastAsia="Symbol" w:hAnsiTheme="minorHAnsi"/>
          <w:sz w:val="26"/>
          <w:szCs w:val="26"/>
        </w:rPr>
        <w:t>Encuesta Regional de Salud y Seguridad y recomendaciones, CIER.</w:t>
      </w:r>
      <w:r w:rsidRPr="0005680A">
        <w:rPr>
          <w:rFonts w:asciiTheme="minorHAnsi" w:eastAsia="Symbol" w:hAnsiTheme="minorHAnsi"/>
          <w:sz w:val="26"/>
          <w:szCs w:val="26"/>
        </w:rPr>
        <w:tab/>
      </w:r>
    </w:p>
    <w:p w:rsidR="0005680A" w:rsidRPr="00592F77" w:rsidRDefault="00752D2A" w:rsidP="000D0D65">
      <w:pPr>
        <w:pStyle w:val="Listenabsatz"/>
        <w:numPr>
          <w:ilvl w:val="0"/>
          <w:numId w:val="1"/>
        </w:numPr>
        <w:tabs>
          <w:tab w:val="left" w:pos="620"/>
        </w:tabs>
        <w:contextualSpacing w:val="0"/>
        <w:rPr>
          <w:rFonts w:asciiTheme="minorHAnsi" w:eastAsia="Symbol" w:hAnsiTheme="minorHAnsi"/>
          <w:sz w:val="26"/>
          <w:szCs w:val="26"/>
          <w:highlight w:val="green"/>
        </w:rPr>
      </w:pPr>
      <w:r w:rsidRPr="00592F77">
        <w:rPr>
          <w:rFonts w:asciiTheme="minorHAnsi" w:eastAsia="Symbol" w:hAnsiTheme="minorHAnsi"/>
          <w:sz w:val="26"/>
          <w:szCs w:val="26"/>
          <w:highlight w:val="green"/>
        </w:rPr>
        <w:t>Nuevo</w:t>
      </w:r>
      <w:r w:rsidR="000D0D65">
        <w:rPr>
          <w:rFonts w:asciiTheme="minorHAnsi" w:eastAsia="Symbol" w:hAnsiTheme="minorHAnsi"/>
          <w:sz w:val="26"/>
          <w:szCs w:val="26"/>
          <w:highlight w:val="green"/>
        </w:rPr>
        <w:t xml:space="preserve">s retos en el sector eléctrico y en relación con </w:t>
      </w:r>
      <w:r w:rsidR="000D0D65" w:rsidRPr="000D0D65">
        <w:rPr>
          <w:rFonts w:asciiTheme="minorHAnsi" w:eastAsia="Symbol" w:hAnsiTheme="minorHAnsi"/>
          <w:sz w:val="26"/>
          <w:szCs w:val="26"/>
          <w:highlight w:val="green"/>
        </w:rPr>
        <w:t xml:space="preserve">la cuarta revolución industrial </w:t>
      </w:r>
      <w:r w:rsidRPr="00592F77">
        <w:rPr>
          <w:rFonts w:asciiTheme="minorHAnsi" w:eastAsia="Symbol" w:hAnsiTheme="minorHAnsi"/>
          <w:sz w:val="26"/>
          <w:szCs w:val="26"/>
          <w:highlight w:val="green"/>
        </w:rPr>
        <w:t>(</w:t>
      </w:r>
      <w:r w:rsidR="00093AA4" w:rsidRPr="000D0D65">
        <w:rPr>
          <w:rFonts w:asciiTheme="minorHAnsi" w:eastAsia="Symbol" w:hAnsiTheme="minorHAnsi"/>
          <w:b/>
          <w:sz w:val="26"/>
          <w:szCs w:val="26"/>
          <w:highlight w:val="green"/>
        </w:rPr>
        <w:t xml:space="preserve">Dr. </w:t>
      </w:r>
      <w:r w:rsidRPr="000D0D65">
        <w:rPr>
          <w:rFonts w:asciiTheme="minorHAnsi" w:eastAsia="Symbol" w:hAnsiTheme="minorHAnsi"/>
          <w:b/>
          <w:sz w:val="26"/>
          <w:szCs w:val="26"/>
          <w:highlight w:val="green"/>
        </w:rPr>
        <w:t>Jens Jühling</w:t>
      </w:r>
      <w:r w:rsidRPr="00592F77">
        <w:rPr>
          <w:rFonts w:asciiTheme="minorHAnsi" w:eastAsia="Symbol" w:hAnsiTheme="minorHAnsi"/>
          <w:sz w:val="26"/>
          <w:szCs w:val="26"/>
          <w:highlight w:val="green"/>
        </w:rPr>
        <w:t>)</w:t>
      </w:r>
    </w:p>
    <w:p w:rsidR="0005680A" w:rsidRPr="0005680A" w:rsidRDefault="0005680A" w:rsidP="0005680A">
      <w:pPr>
        <w:pStyle w:val="Listenabsatz"/>
        <w:numPr>
          <w:ilvl w:val="0"/>
          <w:numId w:val="1"/>
        </w:numPr>
        <w:tabs>
          <w:tab w:val="left" w:pos="620"/>
        </w:tabs>
        <w:contextualSpacing w:val="0"/>
        <w:rPr>
          <w:rFonts w:asciiTheme="minorHAnsi" w:eastAsia="Symbol" w:hAnsiTheme="minorHAnsi"/>
          <w:sz w:val="26"/>
          <w:szCs w:val="26"/>
        </w:rPr>
      </w:pPr>
      <w:r w:rsidRPr="0005680A">
        <w:rPr>
          <w:rFonts w:asciiTheme="minorHAnsi" w:eastAsia="Symbol" w:hAnsiTheme="minorHAnsi"/>
          <w:sz w:val="26"/>
          <w:szCs w:val="26"/>
        </w:rPr>
        <w:t>Aplicación de la neurociencia para el desarrollo de conductas seguras. ¿Vigencia como herramienta y efectividad? Experiencias para las empresas eléctricas. (tema a confirmar)</w:t>
      </w:r>
    </w:p>
    <w:p w:rsidR="0005680A" w:rsidRPr="00592F77" w:rsidRDefault="00752D2A" w:rsidP="0005680A">
      <w:pPr>
        <w:pStyle w:val="Listenabsatz"/>
        <w:numPr>
          <w:ilvl w:val="0"/>
          <w:numId w:val="1"/>
        </w:numPr>
        <w:tabs>
          <w:tab w:val="left" w:pos="620"/>
        </w:tabs>
        <w:rPr>
          <w:rFonts w:asciiTheme="minorHAnsi" w:eastAsia="Symbol" w:hAnsiTheme="minorHAnsi"/>
          <w:sz w:val="26"/>
          <w:szCs w:val="26"/>
          <w:highlight w:val="green"/>
        </w:rPr>
      </w:pPr>
      <w:r w:rsidRPr="00592F77">
        <w:rPr>
          <w:rFonts w:asciiTheme="minorHAnsi" w:eastAsia="Symbol" w:hAnsiTheme="minorHAnsi"/>
          <w:sz w:val="26"/>
          <w:szCs w:val="26"/>
          <w:highlight w:val="green"/>
        </w:rPr>
        <w:t>VISION Zero: Nuevo Paradigma. Un Trabajo Sa</w:t>
      </w:r>
      <w:r w:rsidR="000D0D65">
        <w:rPr>
          <w:rFonts w:asciiTheme="minorHAnsi" w:eastAsia="Symbol" w:hAnsiTheme="minorHAnsi"/>
          <w:sz w:val="26"/>
          <w:szCs w:val="26"/>
          <w:highlight w:val="green"/>
        </w:rPr>
        <w:t xml:space="preserve">ludable y Sin Accidentes </w:t>
      </w:r>
      <w:r w:rsidRPr="00592F77">
        <w:rPr>
          <w:rFonts w:asciiTheme="minorHAnsi" w:eastAsia="Symbol" w:hAnsiTheme="minorHAnsi"/>
          <w:b/>
          <w:sz w:val="26"/>
          <w:szCs w:val="26"/>
          <w:highlight w:val="green"/>
        </w:rPr>
        <w:t>(</w:t>
      </w:r>
      <w:r w:rsidR="00093AA4">
        <w:rPr>
          <w:rFonts w:asciiTheme="minorHAnsi" w:eastAsia="Symbol" w:hAnsiTheme="minorHAnsi"/>
          <w:b/>
          <w:sz w:val="26"/>
          <w:szCs w:val="26"/>
          <w:highlight w:val="green"/>
        </w:rPr>
        <w:t xml:space="preserve">Prof. </w:t>
      </w:r>
      <w:r w:rsidRPr="00592F77">
        <w:rPr>
          <w:rFonts w:asciiTheme="minorHAnsi" w:eastAsia="Symbol" w:hAnsiTheme="minorHAnsi"/>
          <w:b/>
          <w:sz w:val="26"/>
          <w:szCs w:val="26"/>
          <w:highlight w:val="green"/>
        </w:rPr>
        <w:t>Karl-Heinz Noetel)</w:t>
      </w:r>
    </w:p>
    <w:p w:rsidR="0005680A" w:rsidRPr="004916FF" w:rsidRDefault="0005680A" w:rsidP="0005680A">
      <w:pPr>
        <w:pStyle w:val="Listenabsatz"/>
        <w:tabs>
          <w:tab w:val="left" w:pos="620"/>
        </w:tabs>
        <w:ind w:left="620"/>
        <w:contextualSpacing w:val="0"/>
        <w:rPr>
          <w:rFonts w:asciiTheme="minorHAnsi" w:eastAsia="Symbol" w:hAnsiTheme="minorHAnsi"/>
          <w:sz w:val="26"/>
          <w:szCs w:val="26"/>
        </w:rPr>
      </w:pPr>
      <w:r w:rsidRPr="00E82AB7">
        <w:rPr>
          <w:rFonts w:asciiTheme="minorHAnsi" w:eastAsia="Symbol" w:hAnsiTheme="minorHAnsi"/>
          <w:sz w:val="26"/>
          <w:szCs w:val="26"/>
        </w:rPr>
        <w:tab/>
      </w:r>
      <w:r w:rsidRPr="00E82AB7">
        <w:rPr>
          <w:rFonts w:asciiTheme="minorHAnsi" w:eastAsia="Symbol" w:hAnsiTheme="minorHAnsi"/>
          <w:sz w:val="26"/>
          <w:szCs w:val="26"/>
        </w:rPr>
        <w:tab/>
      </w:r>
    </w:p>
    <w:p w:rsidR="0005680A" w:rsidRPr="00551087" w:rsidRDefault="0005680A" w:rsidP="0005680A">
      <w:pPr>
        <w:spacing w:after="240" w:line="240" w:lineRule="auto"/>
        <w:ind w:left="260" w:right="28"/>
        <w:rPr>
          <w:rFonts w:asciiTheme="minorHAnsi" w:eastAsia="Century Gothic" w:hAnsiTheme="minorHAnsi"/>
          <w:b/>
          <w:sz w:val="28"/>
        </w:rPr>
      </w:pPr>
      <w:bookmarkStart w:id="2" w:name="OLE_LINK8"/>
      <w:r w:rsidRPr="00551087">
        <w:rPr>
          <w:rFonts w:asciiTheme="minorHAnsi" w:eastAsia="Century Gothic" w:hAnsiTheme="minorHAnsi"/>
          <w:b/>
          <w:sz w:val="28"/>
        </w:rPr>
        <w:t>NUEVAS TENDENCIAS CON IMPACTO EN LA SEGURIDAD</w:t>
      </w:r>
      <w:r>
        <w:rPr>
          <w:rFonts w:asciiTheme="minorHAnsi" w:eastAsia="Century Gothic" w:hAnsiTheme="minorHAnsi"/>
          <w:b/>
          <w:sz w:val="28"/>
        </w:rPr>
        <w:t xml:space="preserve"> ELÉCTRICA</w:t>
      </w:r>
    </w:p>
    <w:bookmarkEnd w:id="2"/>
    <w:p w:rsidR="0005680A" w:rsidRPr="004916FF" w:rsidRDefault="0005680A" w:rsidP="0005680A">
      <w:pPr>
        <w:spacing w:after="240" w:line="240" w:lineRule="auto"/>
        <w:ind w:left="261"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</w:rPr>
        <w:t>El liderazgo de los altos ejecutivos y el desarrollo de espacios de participación de los colaboradores constituyen pilares para una VISION Zero en salud y seguridad. Por otra parte, l</w:t>
      </w:r>
      <w:r w:rsidRPr="004916FF">
        <w:rPr>
          <w:rFonts w:asciiTheme="minorHAnsi" w:eastAsia="Century Gothic" w:hAnsiTheme="minorHAnsi"/>
          <w:sz w:val="26"/>
          <w:szCs w:val="26"/>
        </w:rPr>
        <w:t xml:space="preserve">as </w:t>
      </w:r>
      <w:r>
        <w:rPr>
          <w:rFonts w:asciiTheme="minorHAnsi" w:eastAsia="Century Gothic" w:hAnsiTheme="minorHAnsi"/>
          <w:sz w:val="26"/>
          <w:szCs w:val="26"/>
        </w:rPr>
        <w:t xml:space="preserve">nuevas </w:t>
      </w:r>
      <w:r w:rsidRPr="004916FF">
        <w:rPr>
          <w:rFonts w:asciiTheme="minorHAnsi" w:eastAsia="Century Gothic" w:hAnsiTheme="minorHAnsi"/>
          <w:sz w:val="26"/>
          <w:szCs w:val="26"/>
        </w:rPr>
        <w:t>tecnologías</w:t>
      </w:r>
      <w:r>
        <w:rPr>
          <w:rFonts w:asciiTheme="minorHAnsi" w:eastAsia="Century Gothic" w:hAnsiTheme="minorHAnsi"/>
          <w:sz w:val="26"/>
          <w:szCs w:val="26"/>
        </w:rPr>
        <w:t>,</w:t>
      </w:r>
      <w:r w:rsidRPr="004916FF">
        <w:rPr>
          <w:rFonts w:asciiTheme="minorHAnsi" w:eastAsia="Century Gothic" w:hAnsiTheme="minorHAnsi"/>
          <w:sz w:val="26"/>
          <w:szCs w:val="26"/>
        </w:rPr>
        <w:t xml:space="preserve"> robótica y </w:t>
      </w:r>
      <w:r>
        <w:rPr>
          <w:rFonts w:asciiTheme="minorHAnsi" w:eastAsia="Century Gothic" w:hAnsiTheme="minorHAnsi"/>
          <w:sz w:val="26"/>
          <w:szCs w:val="26"/>
        </w:rPr>
        <w:t xml:space="preserve">sistemas de información </w:t>
      </w:r>
      <w:r w:rsidRPr="004916FF">
        <w:rPr>
          <w:rFonts w:asciiTheme="minorHAnsi" w:eastAsia="Century Gothic" w:hAnsiTheme="minorHAnsi"/>
          <w:sz w:val="26"/>
          <w:szCs w:val="26"/>
        </w:rPr>
        <w:t xml:space="preserve">están reconfigurando el escenario de actuación del profesional de seguridad laboral.  Este módulo presenta </w:t>
      </w:r>
      <w:r>
        <w:rPr>
          <w:rFonts w:asciiTheme="minorHAnsi" w:eastAsia="Century Gothic" w:hAnsiTheme="minorHAnsi"/>
          <w:sz w:val="26"/>
          <w:szCs w:val="26"/>
        </w:rPr>
        <w:t>una selección de algunos aspectos destacados del mundo laboral del futuro: líderes, participación de los colaboradores y efectos de irrupción tecnológica en las estrategias de prevención de salud y seguridad.</w:t>
      </w:r>
      <w:r w:rsidRPr="004916FF">
        <w:rPr>
          <w:rFonts w:asciiTheme="minorHAnsi" w:eastAsia="Century Gothic" w:hAnsiTheme="minorHAnsi"/>
          <w:sz w:val="26"/>
          <w:szCs w:val="26"/>
        </w:rPr>
        <w:t xml:space="preserve"> </w:t>
      </w:r>
    </w:p>
    <w:p w:rsidR="0005680A" w:rsidRDefault="0005680A" w:rsidP="0005680A">
      <w:pPr>
        <w:spacing w:after="240" w:line="240" w:lineRule="auto"/>
        <w:ind w:left="261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3" w:name="OLE_LINK9"/>
      <w:r w:rsidRPr="009C4C7D">
        <w:rPr>
          <w:rFonts w:asciiTheme="minorHAnsi" w:eastAsia="Century Gothic" w:hAnsiTheme="minorHAnsi"/>
          <w:b/>
          <w:sz w:val="26"/>
          <w:szCs w:val="26"/>
        </w:rPr>
        <w:t>1</w:t>
      </w:r>
      <w:r>
        <w:rPr>
          <w:rFonts w:asciiTheme="minorHAnsi" w:eastAsia="Century Gothic" w:hAnsiTheme="minorHAnsi"/>
          <w:b/>
          <w:sz w:val="26"/>
          <w:szCs w:val="26"/>
        </w:rPr>
        <w:t>3</w:t>
      </w:r>
      <w:r w:rsidRPr="009C4C7D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3</w:t>
      </w:r>
      <w:r w:rsidRPr="009C4C7D">
        <w:rPr>
          <w:rFonts w:asciiTheme="minorHAnsi" w:eastAsia="Century Gothic" w:hAnsiTheme="minorHAnsi"/>
          <w:b/>
          <w:sz w:val="26"/>
          <w:szCs w:val="26"/>
        </w:rPr>
        <w:t>0 – 15:</w:t>
      </w:r>
      <w:r>
        <w:rPr>
          <w:rFonts w:asciiTheme="minorHAnsi" w:eastAsia="Century Gothic" w:hAnsiTheme="minorHAnsi"/>
          <w:b/>
          <w:sz w:val="26"/>
          <w:szCs w:val="26"/>
        </w:rPr>
        <w:t>00</w:t>
      </w:r>
    </w:p>
    <w:p w:rsidR="0005680A" w:rsidRPr="0005680A" w:rsidRDefault="00383E6E" w:rsidP="0005680A">
      <w:pPr>
        <w:pStyle w:val="Listenabsatz"/>
        <w:numPr>
          <w:ilvl w:val="0"/>
          <w:numId w:val="3"/>
        </w:numPr>
        <w:rPr>
          <w:rFonts w:asciiTheme="minorHAnsi" w:eastAsia="Century Gothic" w:hAnsiTheme="minorHAnsi"/>
          <w:sz w:val="26"/>
          <w:szCs w:val="26"/>
          <w:highlight w:val="yellow"/>
        </w:rPr>
      </w:pPr>
      <w:r>
        <w:rPr>
          <w:rFonts w:asciiTheme="minorHAnsi" w:eastAsia="Century Gothic" w:hAnsiTheme="minorHAnsi"/>
          <w:sz w:val="26"/>
          <w:szCs w:val="26"/>
          <w:highlight w:val="yellow"/>
        </w:rPr>
        <w:t>VISION Zero: Regla 1</w:t>
      </w:r>
      <w:r w:rsidR="0005680A" w:rsidRPr="0005680A">
        <w:rPr>
          <w:rFonts w:asciiTheme="minorHAnsi" w:eastAsia="Century Gothic" w:hAnsiTheme="minorHAnsi"/>
          <w:sz w:val="26"/>
          <w:szCs w:val="26"/>
          <w:highlight w:val="yellow"/>
        </w:rPr>
        <w:t xml:space="preserve"> Asumir el liderazgo – demostrar el compromiso, AISS</w:t>
      </w:r>
      <w:r w:rsidR="002447DA">
        <w:rPr>
          <w:rFonts w:asciiTheme="minorHAnsi" w:eastAsia="Century Gothic" w:hAnsiTheme="minorHAnsi"/>
          <w:sz w:val="26"/>
          <w:szCs w:val="26"/>
          <w:highlight w:val="yellow"/>
        </w:rPr>
        <w:t xml:space="preserve"> (</w:t>
      </w:r>
      <w:r>
        <w:rPr>
          <w:rFonts w:asciiTheme="minorHAnsi" w:eastAsia="Century Gothic" w:hAnsiTheme="minorHAnsi"/>
          <w:b/>
          <w:sz w:val="26"/>
          <w:szCs w:val="26"/>
          <w:highlight w:val="yellow"/>
        </w:rPr>
        <w:t>pendiente</w:t>
      </w:r>
      <w:r w:rsidR="002447DA">
        <w:rPr>
          <w:rFonts w:asciiTheme="minorHAnsi" w:eastAsia="Century Gothic" w:hAnsiTheme="minorHAnsi"/>
          <w:sz w:val="26"/>
          <w:szCs w:val="26"/>
          <w:highlight w:val="yellow"/>
        </w:rPr>
        <w:t>)</w:t>
      </w:r>
    </w:p>
    <w:p w:rsidR="0005680A" w:rsidRPr="00F22E40" w:rsidRDefault="0005680A" w:rsidP="0005680A">
      <w:pPr>
        <w:pStyle w:val="Listenabsatz"/>
        <w:numPr>
          <w:ilvl w:val="0"/>
          <w:numId w:val="3"/>
        </w:numPr>
        <w:rPr>
          <w:rFonts w:asciiTheme="minorHAnsi" w:eastAsia="Century Gothic" w:hAnsiTheme="minorHAnsi"/>
          <w:sz w:val="26"/>
          <w:szCs w:val="26"/>
          <w:highlight w:val="yellow"/>
        </w:rPr>
      </w:pPr>
      <w:r w:rsidRPr="00F22E40">
        <w:rPr>
          <w:rFonts w:asciiTheme="minorHAnsi" w:eastAsia="Century Gothic" w:hAnsiTheme="minorHAnsi"/>
          <w:sz w:val="26"/>
          <w:szCs w:val="26"/>
          <w:highlight w:val="yellow"/>
        </w:rPr>
        <w:t>VISION Zero: Regla 7 Invertir en las personas – motivar a través</w:t>
      </w:r>
    </w:p>
    <w:p w:rsidR="0005680A" w:rsidRPr="00F22E40" w:rsidRDefault="00383E6E" w:rsidP="0005680A">
      <w:pPr>
        <w:pStyle w:val="Listenabsatz"/>
        <w:ind w:left="621"/>
        <w:rPr>
          <w:rFonts w:asciiTheme="minorHAnsi" w:eastAsia="Century Gothic" w:hAnsiTheme="minorHAnsi"/>
          <w:sz w:val="26"/>
          <w:szCs w:val="26"/>
          <w:highlight w:val="yellow"/>
        </w:rPr>
      </w:pPr>
      <w:r w:rsidRPr="00F22E40">
        <w:rPr>
          <w:rFonts w:asciiTheme="minorHAnsi" w:eastAsia="Century Gothic" w:hAnsiTheme="minorHAnsi"/>
          <w:sz w:val="26"/>
          <w:szCs w:val="26"/>
          <w:highlight w:val="yellow"/>
        </w:rPr>
        <w:t>de la participación</w:t>
      </w:r>
      <w:r w:rsidR="00126928" w:rsidRPr="00F22E40">
        <w:rPr>
          <w:rFonts w:asciiTheme="minorHAnsi" w:eastAsia="Century Gothic" w:hAnsiTheme="minorHAnsi"/>
          <w:sz w:val="26"/>
          <w:szCs w:val="26"/>
          <w:highlight w:val="yellow"/>
        </w:rPr>
        <w:t xml:space="preserve"> (</w:t>
      </w:r>
      <w:r w:rsidR="00752D2A" w:rsidRPr="00F22E40">
        <w:rPr>
          <w:rFonts w:asciiTheme="minorHAnsi" w:eastAsia="Century Gothic" w:hAnsiTheme="minorHAnsi"/>
          <w:b/>
          <w:sz w:val="26"/>
          <w:szCs w:val="26"/>
          <w:highlight w:val="yellow"/>
        </w:rPr>
        <w:t>Mutual de seguridad</w:t>
      </w:r>
      <w:r w:rsidRPr="00F22E40">
        <w:rPr>
          <w:rFonts w:asciiTheme="minorHAnsi" w:eastAsia="Century Gothic" w:hAnsiTheme="minorHAnsi"/>
          <w:b/>
          <w:sz w:val="26"/>
          <w:szCs w:val="26"/>
          <w:highlight w:val="yellow"/>
        </w:rPr>
        <w:t xml:space="preserve"> CCHC</w:t>
      </w:r>
      <w:r w:rsidR="00126928" w:rsidRPr="00F22E40">
        <w:rPr>
          <w:rFonts w:asciiTheme="minorHAnsi" w:eastAsia="Century Gothic" w:hAnsiTheme="minorHAnsi"/>
          <w:sz w:val="26"/>
          <w:szCs w:val="26"/>
          <w:highlight w:val="yellow"/>
        </w:rPr>
        <w:t>)</w:t>
      </w:r>
    </w:p>
    <w:p w:rsidR="0005680A" w:rsidRPr="00592F77" w:rsidRDefault="0005680A" w:rsidP="0005680A">
      <w:pPr>
        <w:pStyle w:val="Listenabsatz"/>
        <w:numPr>
          <w:ilvl w:val="0"/>
          <w:numId w:val="3"/>
        </w:numPr>
        <w:jc w:val="both"/>
        <w:rPr>
          <w:rFonts w:asciiTheme="minorHAnsi" w:eastAsia="Century Gothic" w:hAnsiTheme="minorHAnsi"/>
          <w:sz w:val="26"/>
          <w:szCs w:val="26"/>
          <w:highlight w:val="green"/>
        </w:rPr>
      </w:pPr>
      <w:r w:rsidRPr="00383E6E">
        <w:rPr>
          <w:rFonts w:asciiTheme="minorHAnsi" w:eastAsia="Century Gothic" w:hAnsiTheme="minorHAnsi"/>
          <w:sz w:val="26"/>
          <w:szCs w:val="26"/>
          <w:highlight w:val="green"/>
        </w:rPr>
        <w:lastRenderedPageBreak/>
        <w:t xml:space="preserve">Herramientas eficaces para lograr VISION Zero </w:t>
      </w:r>
      <w:r w:rsidRPr="00592F77">
        <w:rPr>
          <w:rFonts w:asciiTheme="minorHAnsi" w:eastAsia="Century Gothic" w:hAnsiTheme="minorHAnsi"/>
          <w:sz w:val="26"/>
          <w:szCs w:val="26"/>
          <w:highlight w:val="green"/>
        </w:rPr>
        <w:t>–</w:t>
      </w:r>
      <w:r w:rsidRPr="00592F77">
        <w:rPr>
          <w:highlight w:val="green"/>
        </w:rPr>
        <w:t xml:space="preserve"> </w:t>
      </w:r>
      <w:r w:rsidRPr="00592F77">
        <w:rPr>
          <w:rFonts w:asciiTheme="minorHAnsi" w:eastAsia="Century Gothic" w:hAnsiTheme="minorHAnsi"/>
          <w:sz w:val="26"/>
          <w:szCs w:val="26"/>
          <w:highlight w:val="green"/>
        </w:rPr>
        <w:t>DGUV/AISS Comité para la Información (</w:t>
      </w:r>
      <w:r w:rsidR="00383E6E" w:rsidRPr="00383E6E">
        <w:rPr>
          <w:rFonts w:asciiTheme="minorHAnsi" w:eastAsia="Century Gothic" w:hAnsiTheme="minorHAnsi"/>
          <w:b/>
          <w:sz w:val="26"/>
          <w:szCs w:val="26"/>
          <w:highlight w:val="green"/>
        </w:rPr>
        <w:t xml:space="preserve">Dr. </w:t>
      </w:r>
      <w:r w:rsidR="00752D2A" w:rsidRPr="00383E6E">
        <w:rPr>
          <w:rFonts w:asciiTheme="minorHAnsi" w:eastAsia="Symbol" w:hAnsiTheme="minorHAnsi"/>
          <w:b/>
          <w:sz w:val="26"/>
          <w:szCs w:val="26"/>
          <w:highlight w:val="green"/>
        </w:rPr>
        <w:t>Sven</w:t>
      </w:r>
      <w:r w:rsidR="00752D2A" w:rsidRPr="00592F77">
        <w:rPr>
          <w:rFonts w:asciiTheme="minorHAnsi" w:eastAsia="Symbol" w:hAnsiTheme="minorHAnsi"/>
          <w:b/>
          <w:sz w:val="26"/>
          <w:szCs w:val="26"/>
          <w:highlight w:val="green"/>
        </w:rPr>
        <w:t xml:space="preserve"> Timm</w:t>
      </w:r>
      <w:r w:rsidRPr="00592F77">
        <w:rPr>
          <w:rFonts w:asciiTheme="minorHAnsi" w:eastAsia="Symbol" w:hAnsiTheme="minorHAnsi"/>
          <w:b/>
          <w:sz w:val="26"/>
          <w:szCs w:val="26"/>
          <w:highlight w:val="green"/>
        </w:rPr>
        <w:t>)</w:t>
      </w:r>
      <w:bookmarkStart w:id="4" w:name="_GoBack"/>
      <w:bookmarkEnd w:id="4"/>
    </w:p>
    <w:p w:rsidR="0005680A" w:rsidRPr="00592F77" w:rsidRDefault="0005680A" w:rsidP="0005680A">
      <w:pPr>
        <w:pStyle w:val="Listenabsatz"/>
        <w:numPr>
          <w:ilvl w:val="0"/>
          <w:numId w:val="3"/>
        </w:numPr>
        <w:jc w:val="both"/>
        <w:rPr>
          <w:rFonts w:asciiTheme="minorHAnsi" w:eastAsia="Century Gothic" w:hAnsiTheme="minorHAnsi"/>
          <w:sz w:val="26"/>
          <w:szCs w:val="26"/>
          <w:highlight w:val="green"/>
        </w:rPr>
      </w:pPr>
      <w:r w:rsidRPr="00592F77">
        <w:rPr>
          <w:rFonts w:asciiTheme="minorHAnsi" w:eastAsia="Century Gothic" w:hAnsiTheme="minorHAnsi"/>
          <w:sz w:val="26"/>
          <w:szCs w:val="26"/>
          <w:highlight w:val="green"/>
        </w:rPr>
        <w:t>Guía Internacional para Contratistas del Comi</w:t>
      </w:r>
      <w:r w:rsidR="0060749B">
        <w:rPr>
          <w:rFonts w:asciiTheme="minorHAnsi" w:eastAsia="Century Gothic" w:hAnsiTheme="minorHAnsi"/>
          <w:sz w:val="26"/>
          <w:szCs w:val="26"/>
          <w:highlight w:val="green"/>
        </w:rPr>
        <w:t xml:space="preserve">té para la Electricidad de la </w:t>
      </w:r>
      <w:r w:rsidRPr="00592F77">
        <w:rPr>
          <w:rFonts w:asciiTheme="minorHAnsi" w:eastAsia="Century Gothic" w:hAnsiTheme="minorHAnsi"/>
          <w:sz w:val="26"/>
          <w:szCs w:val="26"/>
          <w:highlight w:val="green"/>
        </w:rPr>
        <w:t>A</w:t>
      </w:r>
      <w:r w:rsidR="0060749B">
        <w:rPr>
          <w:rFonts w:asciiTheme="minorHAnsi" w:eastAsia="Century Gothic" w:hAnsiTheme="minorHAnsi"/>
          <w:sz w:val="26"/>
          <w:szCs w:val="26"/>
          <w:highlight w:val="green"/>
        </w:rPr>
        <w:t xml:space="preserve">ISS </w:t>
      </w:r>
      <w:r w:rsidR="0077121E" w:rsidRPr="00592F77">
        <w:rPr>
          <w:rFonts w:asciiTheme="minorHAnsi" w:eastAsia="Century Gothic" w:hAnsiTheme="minorHAnsi"/>
          <w:b/>
          <w:sz w:val="26"/>
          <w:szCs w:val="26"/>
          <w:highlight w:val="green"/>
        </w:rPr>
        <w:t>(</w:t>
      </w:r>
      <w:r w:rsidR="00383E6E">
        <w:rPr>
          <w:rFonts w:asciiTheme="minorHAnsi" w:eastAsia="Century Gothic" w:hAnsiTheme="minorHAnsi"/>
          <w:b/>
          <w:sz w:val="26"/>
          <w:szCs w:val="26"/>
          <w:highlight w:val="green"/>
        </w:rPr>
        <w:t xml:space="preserve">Dr. </w:t>
      </w:r>
      <w:r w:rsidRPr="00592F77">
        <w:rPr>
          <w:rFonts w:asciiTheme="minorHAnsi" w:eastAsia="Century Gothic" w:hAnsiTheme="minorHAnsi"/>
          <w:b/>
          <w:sz w:val="26"/>
          <w:szCs w:val="26"/>
          <w:highlight w:val="green"/>
        </w:rPr>
        <w:t>Jens Jühling</w:t>
      </w:r>
      <w:r w:rsidR="0077121E" w:rsidRPr="00592F77">
        <w:rPr>
          <w:rFonts w:asciiTheme="minorHAnsi" w:eastAsia="Century Gothic" w:hAnsiTheme="minorHAnsi"/>
          <w:b/>
          <w:sz w:val="26"/>
          <w:szCs w:val="26"/>
          <w:highlight w:val="green"/>
        </w:rPr>
        <w:t>)</w:t>
      </w:r>
    </w:p>
    <w:p w:rsidR="0005680A" w:rsidRPr="00E82AB7" w:rsidRDefault="0005680A" w:rsidP="0005680A">
      <w:pPr>
        <w:pStyle w:val="Listenabsatz"/>
        <w:ind w:left="621"/>
        <w:jc w:val="both"/>
        <w:rPr>
          <w:rFonts w:asciiTheme="minorHAnsi" w:eastAsia="Century Gothic" w:hAnsiTheme="minorHAnsi"/>
          <w:sz w:val="26"/>
          <w:szCs w:val="26"/>
        </w:rPr>
      </w:pPr>
    </w:p>
    <w:p w:rsidR="0005680A" w:rsidRDefault="0005680A" w:rsidP="0005680A">
      <w:pPr>
        <w:spacing w:after="0" w:line="240" w:lineRule="auto"/>
        <w:ind w:left="620"/>
        <w:jc w:val="both"/>
        <w:rPr>
          <w:rFonts w:asciiTheme="minorHAnsi" w:eastAsia="Century Gothic" w:hAnsiTheme="minorHAnsi"/>
          <w:i/>
          <w:sz w:val="26"/>
          <w:szCs w:val="26"/>
        </w:rPr>
      </w:pPr>
      <w:bookmarkStart w:id="5" w:name="_Hlk505262749"/>
      <w:bookmarkEnd w:id="3"/>
      <w:r w:rsidRPr="00623C37">
        <w:rPr>
          <w:rFonts w:asciiTheme="minorHAnsi" w:eastAsia="Century Gothic" w:hAnsiTheme="minorHAnsi"/>
          <w:i/>
          <w:sz w:val="26"/>
          <w:szCs w:val="26"/>
        </w:rPr>
        <w:t>Dinámica: 20 minutos</w:t>
      </w:r>
      <w:r>
        <w:rPr>
          <w:rFonts w:asciiTheme="minorHAnsi" w:eastAsia="Century Gothic" w:hAnsiTheme="minorHAnsi"/>
          <w:i/>
          <w:sz w:val="26"/>
          <w:szCs w:val="26"/>
        </w:rPr>
        <w:t xml:space="preserve"> de presentación</w:t>
      </w:r>
      <w:r w:rsidRPr="00623C37">
        <w:rPr>
          <w:rFonts w:asciiTheme="minorHAnsi" w:eastAsia="Century Gothic" w:hAnsiTheme="minorHAnsi"/>
          <w:i/>
          <w:sz w:val="26"/>
          <w:szCs w:val="26"/>
        </w:rPr>
        <w:t>.</w:t>
      </w:r>
    </w:p>
    <w:p w:rsidR="0005680A" w:rsidRDefault="0005680A" w:rsidP="0005680A">
      <w:pPr>
        <w:spacing w:after="0" w:line="240" w:lineRule="auto"/>
        <w:ind w:left="620"/>
        <w:jc w:val="both"/>
        <w:rPr>
          <w:rFonts w:asciiTheme="minorHAnsi" w:eastAsia="Century Gothic" w:hAnsiTheme="minorHAnsi"/>
          <w:i/>
          <w:sz w:val="26"/>
          <w:szCs w:val="26"/>
        </w:rPr>
      </w:pPr>
      <w:r>
        <w:rPr>
          <w:rFonts w:asciiTheme="minorHAnsi" w:eastAsia="Century Gothic" w:hAnsiTheme="minorHAnsi"/>
          <w:i/>
          <w:sz w:val="26"/>
          <w:szCs w:val="26"/>
        </w:rPr>
        <w:t xml:space="preserve">Moderador: Representante del BOCIER </w:t>
      </w:r>
    </w:p>
    <w:p w:rsidR="0005680A" w:rsidRDefault="0005680A" w:rsidP="0005680A">
      <w:pPr>
        <w:spacing w:after="0" w:line="240" w:lineRule="auto"/>
        <w:ind w:left="620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23C37">
        <w:rPr>
          <w:rFonts w:asciiTheme="minorHAnsi" w:eastAsia="Century Gothic" w:hAnsiTheme="minorHAnsi"/>
          <w:i/>
          <w:sz w:val="26"/>
          <w:szCs w:val="26"/>
        </w:rPr>
        <w:t xml:space="preserve">Traducción: </w:t>
      </w:r>
      <w:r w:rsidR="0077121E">
        <w:rPr>
          <w:rFonts w:asciiTheme="minorHAnsi" w:eastAsia="Century Gothic" w:hAnsiTheme="minorHAnsi"/>
          <w:i/>
          <w:sz w:val="26"/>
          <w:szCs w:val="26"/>
        </w:rPr>
        <w:t>inglés – español – inglés</w:t>
      </w:r>
    </w:p>
    <w:p w:rsidR="0005680A" w:rsidRPr="00623C37" w:rsidRDefault="0005680A" w:rsidP="0005680A">
      <w:pPr>
        <w:spacing w:after="0" w:line="240" w:lineRule="auto"/>
        <w:ind w:left="620"/>
        <w:jc w:val="both"/>
        <w:rPr>
          <w:rFonts w:asciiTheme="minorHAnsi" w:eastAsia="Century Gothic" w:hAnsiTheme="minorHAnsi"/>
          <w:i/>
          <w:sz w:val="26"/>
          <w:szCs w:val="26"/>
        </w:rPr>
      </w:pPr>
      <w:r>
        <w:rPr>
          <w:rFonts w:asciiTheme="minorHAnsi" w:eastAsia="Century Gothic" w:hAnsiTheme="minorHAnsi"/>
          <w:i/>
          <w:sz w:val="26"/>
          <w:szCs w:val="26"/>
        </w:rPr>
        <w:t>Modalidad de participación: preguntas al final del bloque.</w:t>
      </w:r>
    </w:p>
    <w:bookmarkEnd w:id="5"/>
    <w:p w:rsidR="0005680A" w:rsidRPr="00623C37" w:rsidRDefault="0005680A" w:rsidP="0005680A">
      <w:pPr>
        <w:spacing w:after="0" w:line="240" w:lineRule="auto"/>
        <w:ind w:left="261"/>
        <w:jc w:val="both"/>
        <w:rPr>
          <w:rFonts w:asciiTheme="minorHAnsi" w:eastAsia="Century Gothic" w:hAnsiTheme="minorHAnsi"/>
          <w:i/>
          <w:sz w:val="26"/>
          <w:szCs w:val="26"/>
        </w:rPr>
      </w:pPr>
    </w:p>
    <w:p w:rsidR="0005680A" w:rsidRDefault="0005680A" w:rsidP="0005680A">
      <w:pPr>
        <w:spacing w:after="240" w:line="240" w:lineRule="auto"/>
        <w:ind w:left="260"/>
        <w:jc w:val="both"/>
        <w:rPr>
          <w:rFonts w:asciiTheme="minorHAnsi" w:eastAsia="Century Gothic" w:hAnsiTheme="minorHAnsi"/>
          <w:sz w:val="26"/>
          <w:szCs w:val="26"/>
        </w:rPr>
      </w:pPr>
      <w:bookmarkStart w:id="6" w:name="OLE_LINK10"/>
      <w:r w:rsidRPr="009C4C7D">
        <w:rPr>
          <w:rFonts w:asciiTheme="minorHAnsi" w:eastAsia="Century Gothic" w:hAnsiTheme="minorHAnsi"/>
          <w:b/>
          <w:sz w:val="26"/>
          <w:szCs w:val="26"/>
        </w:rPr>
        <w:t>15:</w:t>
      </w:r>
      <w:r>
        <w:rPr>
          <w:rFonts w:asciiTheme="minorHAnsi" w:eastAsia="Century Gothic" w:hAnsiTheme="minorHAnsi"/>
          <w:b/>
          <w:sz w:val="26"/>
          <w:szCs w:val="26"/>
        </w:rPr>
        <w:t>00</w:t>
      </w:r>
      <w:r w:rsidRPr="009C4C7D">
        <w:rPr>
          <w:rFonts w:asciiTheme="minorHAnsi" w:eastAsia="Century Gothic" w:hAnsiTheme="minorHAnsi"/>
          <w:b/>
          <w:sz w:val="26"/>
          <w:szCs w:val="26"/>
        </w:rPr>
        <w:t xml:space="preserve"> – 1</w:t>
      </w:r>
      <w:r>
        <w:rPr>
          <w:rFonts w:asciiTheme="minorHAnsi" w:eastAsia="Century Gothic" w:hAnsiTheme="minorHAnsi"/>
          <w:b/>
          <w:sz w:val="26"/>
          <w:szCs w:val="26"/>
        </w:rPr>
        <w:t>5</w:t>
      </w:r>
      <w:r w:rsidRPr="009C4C7D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30</w:t>
      </w:r>
      <w:r>
        <w:rPr>
          <w:rFonts w:asciiTheme="minorHAnsi" w:eastAsia="Century Gothic" w:hAnsiTheme="minorHAnsi"/>
          <w:sz w:val="26"/>
          <w:szCs w:val="26"/>
        </w:rPr>
        <w:t xml:space="preserve"> Café</w:t>
      </w:r>
    </w:p>
    <w:p w:rsidR="0005680A" w:rsidRPr="009C4C7D" w:rsidRDefault="0005680A" w:rsidP="0005680A">
      <w:pPr>
        <w:spacing w:after="240" w:line="240" w:lineRule="auto"/>
        <w:ind w:left="260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7" w:name="OLE_LINK11"/>
      <w:bookmarkEnd w:id="6"/>
      <w:r w:rsidRPr="009C4C7D">
        <w:rPr>
          <w:rFonts w:asciiTheme="minorHAnsi" w:eastAsia="Century Gothic" w:hAnsiTheme="minorHAnsi"/>
          <w:b/>
          <w:sz w:val="26"/>
          <w:szCs w:val="26"/>
        </w:rPr>
        <w:t>1</w:t>
      </w:r>
      <w:r>
        <w:rPr>
          <w:rFonts w:asciiTheme="minorHAnsi" w:eastAsia="Century Gothic" w:hAnsiTheme="minorHAnsi"/>
          <w:b/>
          <w:sz w:val="26"/>
          <w:szCs w:val="26"/>
        </w:rPr>
        <w:t>5</w:t>
      </w:r>
      <w:r w:rsidRPr="009C4C7D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30</w:t>
      </w:r>
      <w:r w:rsidRPr="009C4C7D">
        <w:rPr>
          <w:rFonts w:asciiTheme="minorHAnsi" w:eastAsia="Century Gothic" w:hAnsiTheme="minorHAnsi"/>
          <w:b/>
          <w:sz w:val="26"/>
          <w:szCs w:val="26"/>
        </w:rPr>
        <w:t xml:space="preserve"> -  1</w:t>
      </w:r>
      <w:r>
        <w:rPr>
          <w:rFonts w:asciiTheme="minorHAnsi" w:eastAsia="Century Gothic" w:hAnsiTheme="minorHAnsi"/>
          <w:b/>
          <w:sz w:val="26"/>
          <w:szCs w:val="26"/>
        </w:rPr>
        <w:t>6</w:t>
      </w:r>
      <w:r w:rsidRPr="009C4C7D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3</w:t>
      </w:r>
      <w:r w:rsidRPr="009C4C7D">
        <w:rPr>
          <w:rFonts w:asciiTheme="minorHAnsi" w:eastAsia="Century Gothic" w:hAnsiTheme="minorHAnsi"/>
          <w:b/>
          <w:sz w:val="26"/>
          <w:szCs w:val="26"/>
        </w:rPr>
        <w:t xml:space="preserve">0 </w:t>
      </w:r>
    </w:p>
    <w:bookmarkEnd w:id="7"/>
    <w:p w:rsidR="00752D2A" w:rsidRPr="00592F77" w:rsidRDefault="00752D2A" w:rsidP="00752D2A">
      <w:pPr>
        <w:pStyle w:val="Listenabsatz"/>
        <w:numPr>
          <w:ilvl w:val="0"/>
          <w:numId w:val="2"/>
        </w:numPr>
        <w:spacing w:after="240"/>
        <w:jc w:val="both"/>
        <w:rPr>
          <w:rFonts w:asciiTheme="minorHAnsi" w:eastAsia="Century Gothic" w:hAnsiTheme="minorHAnsi"/>
          <w:sz w:val="26"/>
          <w:szCs w:val="26"/>
          <w:highlight w:val="green"/>
        </w:rPr>
      </w:pPr>
      <w:r w:rsidRPr="00592F77">
        <w:rPr>
          <w:rFonts w:asciiTheme="minorHAnsi" w:eastAsia="Century Gothic" w:hAnsiTheme="minorHAnsi"/>
          <w:sz w:val="26"/>
          <w:szCs w:val="26"/>
          <w:highlight w:val="green"/>
        </w:rPr>
        <w:t>Evolución de la normalización y retos en las tecno</w:t>
      </w:r>
      <w:r w:rsidR="00411F28">
        <w:rPr>
          <w:rFonts w:asciiTheme="minorHAnsi" w:eastAsia="Century Gothic" w:hAnsiTheme="minorHAnsi"/>
          <w:sz w:val="26"/>
          <w:szCs w:val="26"/>
          <w:highlight w:val="green"/>
        </w:rPr>
        <w:t>logías autónomas y de seguridad</w:t>
      </w:r>
      <w:r w:rsidR="00714CCB" w:rsidRPr="00592F77">
        <w:rPr>
          <w:rFonts w:asciiTheme="minorHAnsi" w:eastAsia="Century Gothic" w:hAnsiTheme="minorHAnsi"/>
          <w:b/>
          <w:sz w:val="26"/>
          <w:szCs w:val="26"/>
          <w:highlight w:val="green"/>
        </w:rPr>
        <w:t xml:space="preserve"> </w:t>
      </w:r>
      <w:r w:rsidRPr="00592F77">
        <w:rPr>
          <w:rFonts w:asciiTheme="minorHAnsi" w:eastAsia="Century Gothic" w:hAnsiTheme="minorHAnsi"/>
          <w:b/>
          <w:sz w:val="26"/>
          <w:szCs w:val="26"/>
          <w:highlight w:val="green"/>
        </w:rPr>
        <w:t>(</w:t>
      </w:r>
      <w:r w:rsidRPr="00592F77">
        <w:rPr>
          <w:rFonts w:asciiTheme="minorHAnsi" w:eastAsia="Symbol" w:hAnsiTheme="minorHAnsi"/>
          <w:b/>
          <w:sz w:val="26"/>
          <w:szCs w:val="26"/>
          <w:highlight w:val="green"/>
        </w:rPr>
        <w:t>Kevin Behnisch)</w:t>
      </w:r>
    </w:p>
    <w:p w:rsidR="00752D2A" w:rsidRPr="0005680A" w:rsidRDefault="00752D2A" w:rsidP="00752D2A">
      <w:pPr>
        <w:pStyle w:val="Listenabsatz"/>
        <w:spacing w:after="240"/>
        <w:ind w:left="620"/>
        <w:jc w:val="both"/>
        <w:rPr>
          <w:rFonts w:asciiTheme="minorHAnsi" w:eastAsia="Century Gothic" w:hAnsiTheme="minorHAnsi"/>
          <w:sz w:val="26"/>
          <w:szCs w:val="26"/>
          <w:highlight w:val="yellow"/>
        </w:rPr>
      </w:pPr>
    </w:p>
    <w:p w:rsidR="0005680A" w:rsidRPr="00411F28" w:rsidRDefault="00383E6E" w:rsidP="00411F28">
      <w:pPr>
        <w:pStyle w:val="Listenabsatz"/>
        <w:numPr>
          <w:ilvl w:val="0"/>
          <w:numId w:val="2"/>
        </w:numPr>
        <w:spacing w:after="240"/>
        <w:jc w:val="both"/>
        <w:rPr>
          <w:rFonts w:asciiTheme="minorHAnsi" w:eastAsia="Century Gothic" w:hAnsiTheme="minorHAnsi"/>
          <w:sz w:val="26"/>
          <w:szCs w:val="26"/>
          <w:highlight w:val="green"/>
        </w:rPr>
      </w:pPr>
      <w:r w:rsidRPr="00383E6E">
        <w:rPr>
          <w:rFonts w:asciiTheme="minorHAnsi" w:eastAsia="Century Gothic" w:hAnsiTheme="minorHAnsi"/>
          <w:sz w:val="26"/>
          <w:szCs w:val="26"/>
          <w:highlight w:val="green"/>
        </w:rPr>
        <w:t>Pr</w:t>
      </w:r>
      <w:r>
        <w:rPr>
          <w:rFonts w:asciiTheme="minorHAnsi" w:eastAsia="Century Gothic" w:hAnsiTheme="minorHAnsi"/>
          <w:sz w:val="26"/>
          <w:szCs w:val="26"/>
          <w:highlight w:val="green"/>
        </w:rPr>
        <w:t xml:space="preserve">otección contra </w:t>
      </w:r>
      <w:r w:rsidRPr="00383E6E">
        <w:rPr>
          <w:rFonts w:asciiTheme="minorHAnsi" w:eastAsia="Century Gothic" w:hAnsiTheme="minorHAnsi"/>
          <w:sz w:val="26"/>
          <w:szCs w:val="26"/>
          <w:highlight w:val="green"/>
        </w:rPr>
        <w:t>arco</w:t>
      </w:r>
      <w:r>
        <w:rPr>
          <w:rFonts w:asciiTheme="minorHAnsi" w:eastAsia="Century Gothic" w:hAnsiTheme="minorHAnsi"/>
          <w:sz w:val="26"/>
          <w:szCs w:val="26"/>
          <w:highlight w:val="green"/>
        </w:rPr>
        <w:t>s</w:t>
      </w:r>
      <w:r w:rsidRPr="00383E6E">
        <w:rPr>
          <w:rFonts w:asciiTheme="minorHAnsi" w:eastAsia="Century Gothic" w:hAnsiTheme="minorHAnsi"/>
          <w:sz w:val="26"/>
          <w:szCs w:val="26"/>
          <w:highlight w:val="green"/>
        </w:rPr>
        <w:t xml:space="preserve"> </w:t>
      </w:r>
      <w:r>
        <w:rPr>
          <w:rFonts w:asciiTheme="minorHAnsi" w:eastAsia="Century Gothic" w:hAnsiTheme="minorHAnsi"/>
          <w:sz w:val="26"/>
          <w:szCs w:val="26"/>
          <w:highlight w:val="green"/>
        </w:rPr>
        <w:t xml:space="preserve">eléctricos </w:t>
      </w:r>
      <w:r w:rsidRPr="00383E6E">
        <w:rPr>
          <w:rFonts w:asciiTheme="minorHAnsi" w:eastAsia="Century Gothic" w:hAnsiTheme="minorHAnsi"/>
          <w:sz w:val="26"/>
          <w:szCs w:val="26"/>
          <w:highlight w:val="green"/>
        </w:rPr>
        <w:t>en sistemas de baj</w:t>
      </w:r>
      <w:r w:rsidR="00FA2A55">
        <w:rPr>
          <w:rFonts w:asciiTheme="minorHAnsi" w:eastAsia="Century Gothic" w:hAnsiTheme="minorHAnsi"/>
          <w:sz w:val="26"/>
          <w:szCs w:val="26"/>
          <w:highlight w:val="green"/>
        </w:rPr>
        <w:t xml:space="preserve">a tensión de corriente continua </w:t>
      </w:r>
      <w:r w:rsidR="00752D2A" w:rsidRPr="00411F28">
        <w:rPr>
          <w:rFonts w:asciiTheme="minorHAnsi" w:eastAsia="Century Gothic" w:hAnsiTheme="minorHAnsi"/>
          <w:sz w:val="26"/>
          <w:szCs w:val="26"/>
          <w:highlight w:val="green"/>
        </w:rPr>
        <w:t>(</w:t>
      </w:r>
      <w:r w:rsidR="00714CCB" w:rsidRPr="00411F28">
        <w:rPr>
          <w:rFonts w:asciiTheme="minorHAnsi" w:eastAsia="Century Gothic" w:hAnsiTheme="minorHAnsi"/>
          <w:b/>
          <w:sz w:val="26"/>
          <w:szCs w:val="26"/>
          <w:highlight w:val="green"/>
        </w:rPr>
        <w:t xml:space="preserve">Dr. </w:t>
      </w:r>
      <w:r w:rsidR="00752D2A" w:rsidRPr="00411F28">
        <w:rPr>
          <w:rFonts w:asciiTheme="minorHAnsi" w:eastAsia="Century Gothic" w:hAnsiTheme="minorHAnsi"/>
          <w:b/>
          <w:sz w:val="26"/>
          <w:szCs w:val="26"/>
          <w:highlight w:val="green"/>
        </w:rPr>
        <w:t>Holger Schau)</w:t>
      </w:r>
    </w:p>
    <w:p w:rsidR="0005680A" w:rsidRPr="0005680A" w:rsidRDefault="0005680A" w:rsidP="0005680A">
      <w:pPr>
        <w:pStyle w:val="Listenabsatz"/>
        <w:spacing w:after="240"/>
        <w:ind w:left="620"/>
        <w:jc w:val="both"/>
        <w:rPr>
          <w:rFonts w:asciiTheme="minorHAnsi" w:eastAsia="Century Gothic" w:hAnsiTheme="minorHAnsi"/>
          <w:sz w:val="26"/>
          <w:szCs w:val="26"/>
          <w:highlight w:val="yellow"/>
        </w:rPr>
      </w:pPr>
    </w:p>
    <w:p w:rsidR="00876820" w:rsidRDefault="00876820"/>
    <w:sectPr w:rsidR="008768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078"/>
    <w:multiLevelType w:val="hybridMultilevel"/>
    <w:tmpl w:val="FA8C64F0"/>
    <w:lvl w:ilvl="0" w:tplc="38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>
    <w:nsid w:val="10070F6C"/>
    <w:multiLevelType w:val="hybridMultilevel"/>
    <w:tmpl w:val="C2C0CF6C"/>
    <w:lvl w:ilvl="0" w:tplc="38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>
    <w:nsid w:val="71EA7972"/>
    <w:multiLevelType w:val="hybridMultilevel"/>
    <w:tmpl w:val="AE6E4B54"/>
    <w:lvl w:ilvl="0" w:tplc="380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0A"/>
    <w:rsid w:val="0005680A"/>
    <w:rsid w:val="00093AA4"/>
    <w:rsid w:val="000D0D65"/>
    <w:rsid w:val="00126928"/>
    <w:rsid w:val="002447DA"/>
    <w:rsid w:val="00383E6E"/>
    <w:rsid w:val="00411F28"/>
    <w:rsid w:val="00592F77"/>
    <w:rsid w:val="0060749B"/>
    <w:rsid w:val="00714CCB"/>
    <w:rsid w:val="00752D2A"/>
    <w:rsid w:val="0077121E"/>
    <w:rsid w:val="00876820"/>
    <w:rsid w:val="00984CE9"/>
    <w:rsid w:val="00F22E40"/>
    <w:rsid w:val="00F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80A"/>
    <w:rPr>
      <w:rFonts w:ascii="Calibri" w:eastAsia="Calibri" w:hAnsi="Calibri" w:cs="Times New Roman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68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80A"/>
    <w:rPr>
      <w:rFonts w:ascii="Calibri" w:eastAsia="Calibri" w:hAnsi="Calibri" w:cs="Times New Roman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68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Descripcion xmlns="a4ff5ec7-4468-4416-b256-2de1d7254c7f" xsi:nil="true"/>
    <VariationsItemGroupID xmlns="http://schemas.microsoft.com/sharepoint/v3">4a1aa9b8-7811-4c50-97bb-f65f67b15170</VariationsItemGroupID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8E64550-5789-4C6C-B388-9606707BA086}"/>
</file>

<file path=customXml/itemProps2.xml><?xml version="1.0" encoding="utf-8"?>
<ds:datastoreItem xmlns:ds="http://schemas.openxmlformats.org/officeDocument/2006/customXml" ds:itemID="{7796C9B0-4108-4E2F-8023-8F160B5F53D7}"/>
</file>

<file path=customXml/itemProps3.xml><?xml version="1.0" encoding="utf-8"?>
<ds:datastoreItem xmlns:ds="http://schemas.openxmlformats.org/officeDocument/2006/customXml" ds:itemID="{01FA2329-65D3-40F3-8376-EAE88CE60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BGETEM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Papantuono, Jennifer</dc:creator>
  <cp:lastModifiedBy>Roch, Jennifer</cp:lastModifiedBy>
  <cp:revision>2</cp:revision>
  <dcterms:created xsi:type="dcterms:W3CDTF">2018-12-14T16:00:00Z</dcterms:created>
  <dcterms:modified xsi:type="dcterms:W3CDTF">2018-12-14T16:00:00Z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